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47" w:rsidRPr="00981209" w:rsidRDefault="00514047" w:rsidP="00514047">
      <w:pPr>
        <w:pStyle w:val="Default"/>
        <w:rPr>
          <w:sz w:val="28"/>
          <w:szCs w:val="20"/>
        </w:rPr>
      </w:pPr>
      <w:bookmarkStart w:id="0" w:name="_GoBack"/>
      <w:bookmarkEnd w:id="0"/>
    </w:p>
    <w:p w:rsidR="007C2DE1" w:rsidRDefault="00981209" w:rsidP="00981209">
      <w:pPr>
        <w:pStyle w:val="Default"/>
        <w:jc w:val="center"/>
        <w:rPr>
          <w:b/>
          <w:sz w:val="28"/>
          <w:szCs w:val="28"/>
        </w:rPr>
      </w:pPr>
      <w:r w:rsidRPr="00981209">
        <w:rPr>
          <w:b/>
          <w:sz w:val="28"/>
          <w:szCs w:val="28"/>
        </w:rPr>
        <w:t xml:space="preserve">Аналитическая справка </w:t>
      </w:r>
    </w:p>
    <w:p w:rsidR="00981209" w:rsidRDefault="00981209" w:rsidP="00981209">
      <w:pPr>
        <w:pStyle w:val="Default"/>
        <w:jc w:val="center"/>
        <w:rPr>
          <w:b/>
          <w:sz w:val="28"/>
          <w:szCs w:val="28"/>
        </w:rPr>
      </w:pPr>
      <w:r w:rsidRPr="00981209">
        <w:rPr>
          <w:b/>
          <w:sz w:val="28"/>
          <w:szCs w:val="28"/>
        </w:rPr>
        <w:t xml:space="preserve">о квалификации педагогов </w:t>
      </w:r>
      <w:r w:rsidR="00D9268C" w:rsidRPr="00981209">
        <w:rPr>
          <w:rFonts w:eastAsia="Times New Roman"/>
          <w:b/>
          <w:bCs/>
          <w:sz w:val="28"/>
          <w:szCs w:val="28"/>
          <w:lang w:eastAsia="ru-RU"/>
        </w:rPr>
        <w:t>ОО</w:t>
      </w:r>
    </w:p>
    <w:p w:rsidR="00981209" w:rsidRPr="00981209" w:rsidRDefault="00981209" w:rsidP="00981209">
      <w:pPr>
        <w:pStyle w:val="Default"/>
        <w:jc w:val="center"/>
        <w:rPr>
          <w:b/>
          <w:sz w:val="28"/>
          <w:szCs w:val="28"/>
        </w:rPr>
      </w:pPr>
      <w:r w:rsidRPr="00981209">
        <w:rPr>
          <w:b/>
          <w:sz w:val="28"/>
          <w:szCs w:val="28"/>
        </w:rPr>
        <w:t>Ермаковского района по результатам анализа</w:t>
      </w:r>
      <w:r w:rsidRPr="00981209">
        <w:rPr>
          <w:rFonts w:eastAsia="Times New Roman"/>
          <w:b/>
          <w:bCs/>
          <w:sz w:val="28"/>
          <w:szCs w:val="28"/>
          <w:lang w:eastAsia="ru-RU"/>
        </w:rPr>
        <w:t xml:space="preserve"> информации о педагогических работниках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на 30.06.2021 года.</w:t>
      </w:r>
    </w:p>
    <w:p w:rsidR="00981209" w:rsidRDefault="00981209" w:rsidP="00514047">
      <w:pPr>
        <w:pStyle w:val="Default"/>
        <w:rPr>
          <w:sz w:val="28"/>
          <w:szCs w:val="20"/>
        </w:rPr>
      </w:pPr>
    </w:p>
    <w:p w:rsidR="00981209" w:rsidRDefault="00514047" w:rsidP="00A56666">
      <w:pPr>
        <w:pStyle w:val="Default"/>
        <w:ind w:firstLine="708"/>
        <w:jc w:val="both"/>
        <w:rPr>
          <w:sz w:val="28"/>
          <w:szCs w:val="20"/>
        </w:rPr>
      </w:pPr>
      <w:r w:rsidRPr="00981209">
        <w:rPr>
          <w:sz w:val="28"/>
          <w:szCs w:val="20"/>
        </w:rPr>
        <w:t>В системе обра</w:t>
      </w:r>
      <w:r w:rsidR="00133974">
        <w:rPr>
          <w:sz w:val="28"/>
          <w:szCs w:val="20"/>
        </w:rPr>
        <w:t>зования Ермаковского района   26</w:t>
      </w:r>
      <w:r w:rsidRPr="00981209">
        <w:rPr>
          <w:sz w:val="28"/>
          <w:szCs w:val="20"/>
        </w:rPr>
        <w:t xml:space="preserve"> образовательных учреждений</w:t>
      </w:r>
      <w:r w:rsidR="00981209">
        <w:rPr>
          <w:sz w:val="28"/>
          <w:szCs w:val="20"/>
        </w:rPr>
        <w:t xml:space="preserve"> в каждом из них работают </w:t>
      </w:r>
      <w:r w:rsidR="00981209" w:rsidRPr="00981209">
        <w:rPr>
          <w:sz w:val="28"/>
          <w:szCs w:val="20"/>
        </w:rPr>
        <w:t>педагогические работники в соответствии с  требованиями профессионального стандарта и ЕКС.</w:t>
      </w:r>
    </w:p>
    <w:p w:rsidR="00A56666" w:rsidRDefault="00A56666" w:rsidP="00A56666">
      <w:pPr>
        <w:pStyle w:val="Defaul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Согласно ежегодному анализу представленной информации     образовательными организациями о </w:t>
      </w:r>
      <w:r w:rsidRPr="00A56666">
        <w:rPr>
          <w:sz w:val="28"/>
          <w:szCs w:val="28"/>
        </w:rPr>
        <w:t>квалификации</w:t>
      </w:r>
      <w:r>
        <w:rPr>
          <w:sz w:val="28"/>
          <w:szCs w:val="20"/>
        </w:rPr>
        <w:t xml:space="preserve"> педагогических работник</w:t>
      </w:r>
      <w:r w:rsidR="00911FEC">
        <w:rPr>
          <w:sz w:val="28"/>
          <w:szCs w:val="20"/>
        </w:rPr>
        <w:t xml:space="preserve">ов за последние два года (2020 и 2021) изменений </w:t>
      </w:r>
      <w:r w:rsidR="008D5544">
        <w:rPr>
          <w:sz w:val="28"/>
          <w:szCs w:val="20"/>
        </w:rPr>
        <w:t xml:space="preserve">в активности педагогов в аттестации на первую и высшую квалификационную категорию не наблюдается. </w:t>
      </w:r>
      <w:r w:rsidR="004C1F97">
        <w:rPr>
          <w:sz w:val="28"/>
          <w:szCs w:val="20"/>
        </w:rPr>
        <w:t>( Данные по квалификации</w:t>
      </w:r>
      <w:r w:rsidR="005716E7">
        <w:rPr>
          <w:sz w:val="28"/>
          <w:szCs w:val="20"/>
        </w:rPr>
        <w:t xml:space="preserve"> педагогов</w:t>
      </w:r>
      <w:r w:rsidR="004C1F97">
        <w:rPr>
          <w:sz w:val="28"/>
          <w:szCs w:val="20"/>
        </w:rPr>
        <w:t xml:space="preserve"> в</w:t>
      </w:r>
      <w:proofErr w:type="gramStart"/>
      <w:r w:rsidR="004C1F97">
        <w:rPr>
          <w:sz w:val="28"/>
          <w:szCs w:val="20"/>
        </w:rPr>
        <w:t xml:space="preserve"> Т</w:t>
      </w:r>
      <w:proofErr w:type="gramEnd"/>
      <w:r w:rsidR="004C1F97">
        <w:rPr>
          <w:sz w:val="28"/>
          <w:szCs w:val="20"/>
        </w:rPr>
        <w:t>абл. 1)</w:t>
      </w:r>
    </w:p>
    <w:p w:rsidR="00881AF5" w:rsidRDefault="00881AF5" w:rsidP="00A56666">
      <w:pPr>
        <w:pStyle w:val="Default"/>
        <w:jc w:val="both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7"/>
        <w:gridCol w:w="1298"/>
        <w:gridCol w:w="1268"/>
        <w:gridCol w:w="2245"/>
        <w:gridCol w:w="1048"/>
        <w:gridCol w:w="1112"/>
        <w:gridCol w:w="1523"/>
      </w:tblGrid>
      <w:tr w:rsidR="00881AF5" w:rsidRPr="00F42547" w:rsidTr="00881AF5">
        <w:trPr>
          <w:trHeight w:val="76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F97" w:rsidRPr="005716E7" w:rsidRDefault="004C1F97" w:rsidP="004C1F97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5716E7">
              <w:rPr>
                <w:b/>
                <w:szCs w:val="20"/>
              </w:rPr>
              <w:t>Табл. 1</w:t>
            </w:r>
          </w:p>
          <w:p w:rsidR="00881AF5" w:rsidRPr="00F42547" w:rsidRDefault="00881AF5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ru-RU"/>
              </w:rPr>
              <w:t>Квалификация педагогов Ермаковского района  в 2020 и 2021 годах</w:t>
            </w:r>
            <w:r w:rsidR="004C1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881AF5" w:rsidRPr="00F42547" w:rsidTr="00536E26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47" w:rsidRPr="00F42547" w:rsidRDefault="00F42547" w:rsidP="0053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47" w:rsidRPr="00F42547" w:rsidRDefault="00F42547" w:rsidP="0053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42547" w:rsidRPr="00F42547" w:rsidRDefault="00F42547" w:rsidP="0053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Нет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47" w:rsidRPr="00F42547" w:rsidRDefault="00F42547" w:rsidP="0053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F425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Аттестованы на соответствие</w:t>
            </w:r>
            <w:r w:rsidR="00881AF5" w:rsidRPr="005943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занимаемой должности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2547" w:rsidRPr="00F42547" w:rsidRDefault="00F42547" w:rsidP="0053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Первая кв. кат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2547" w:rsidRPr="00F42547" w:rsidRDefault="00F42547" w:rsidP="0053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F425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Высшая</w:t>
            </w:r>
            <w:proofErr w:type="gramEnd"/>
            <w:r w:rsidRPr="00F425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кв. кат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47" w:rsidRPr="00F42547" w:rsidRDefault="00F42547" w:rsidP="00536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 подлежат атт</w:t>
            </w:r>
            <w:r w:rsidR="00881AF5" w:rsidRPr="005943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естации</w:t>
            </w:r>
          </w:p>
        </w:tc>
      </w:tr>
      <w:tr w:rsidR="00881AF5" w:rsidRPr="00F42547" w:rsidTr="008D554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F42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7" w:rsidRPr="00F42547" w:rsidRDefault="00F42547" w:rsidP="00BE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881AF5" w:rsidRPr="00F42547" w:rsidTr="008D554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F42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2021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7" w:rsidRPr="00F42547" w:rsidRDefault="00F42547" w:rsidP="00BE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881AF5" w:rsidRPr="00F42547" w:rsidTr="00EC7357">
        <w:trPr>
          <w:trHeight w:val="29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F5" w:rsidRPr="0059436A" w:rsidRDefault="00881AF5" w:rsidP="00BE2B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9436A">
              <w:rPr>
                <w:rFonts w:ascii="Calibri" w:eastAsia="Times New Roman" w:hAnsi="Calibri" w:cs="Calibri"/>
                <w:b/>
                <w:color w:val="000000"/>
                <w:highlight w:val="yellow"/>
                <w:lang w:eastAsia="ru-RU"/>
              </w:rPr>
              <w:t>ДОУ</w:t>
            </w:r>
          </w:p>
        </w:tc>
      </w:tr>
      <w:tr w:rsidR="00881AF5" w:rsidRPr="00F42547" w:rsidTr="008D554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F42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BE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837948" w:rsidRPr="00F42547" w:rsidTr="00E8771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F42547" w:rsidRDefault="00837948" w:rsidP="00F42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2021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837948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837948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837948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837948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837948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</w:pPr>
            <w:r w:rsidRPr="00837948">
              <w:rPr>
                <w:rFonts w:ascii="Calibri" w:eastAsia="Times New Roman" w:hAnsi="Calibri" w:cs="Calibri"/>
                <w:color w:val="000000"/>
                <w:szCs w:val="20"/>
                <w:lang w:eastAsia="ru-RU"/>
              </w:rPr>
              <w:t>12</w:t>
            </w:r>
          </w:p>
        </w:tc>
      </w:tr>
      <w:tr w:rsidR="00881AF5" w:rsidRPr="00F42547" w:rsidTr="00EC7357">
        <w:trPr>
          <w:trHeight w:val="29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AF5" w:rsidRPr="0059436A" w:rsidRDefault="00881AF5" w:rsidP="00BE2B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9436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ДО</w:t>
            </w:r>
          </w:p>
        </w:tc>
      </w:tr>
      <w:tr w:rsidR="00881AF5" w:rsidRPr="00F42547" w:rsidTr="008D554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F42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43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F924AF" w:rsidRPr="0059436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BE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881AF5" w:rsidRPr="00F42547" w:rsidTr="008D554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F42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2021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BE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47" w:rsidRPr="00F42547" w:rsidRDefault="00F42547" w:rsidP="00881A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254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</w:tbl>
    <w:p w:rsidR="00911FEC" w:rsidRDefault="00911FEC" w:rsidP="00A56666">
      <w:pPr>
        <w:pStyle w:val="Default"/>
        <w:jc w:val="both"/>
        <w:rPr>
          <w:noProof/>
          <w:lang w:eastAsia="ru-RU"/>
        </w:rPr>
      </w:pPr>
    </w:p>
    <w:p w:rsidR="00820DF2" w:rsidRDefault="00820DF2" w:rsidP="00A56666">
      <w:pPr>
        <w:pStyle w:val="Default"/>
        <w:jc w:val="both"/>
        <w:rPr>
          <w:sz w:val="28"/>
          <w:szCs w:val="20"/>
        </w:rPr>
      </w:pPr>
    </w:p>
    <w:p w:rsidR="00820DF2" w:rsidRDefault="00820DF2" w:rsidP="00A56666">
      <w:pPr>
        <w:pStyle w:val="Default"/>
        <w:jc w:val="both"/>
        <w:rPr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 wp14:anchorId="744665C0" wp14:editId="4BBA6F29">
            <wp:extent cx="4699000" cy="2711450"/>
            <wp:effectExtent l="0" t="0" r="254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0DF2" w:rsidRDefault="00D359DC" w:rsidP="00A56666">
      <w:pPr>
        <w:pStyle w:val="Default"/>
        <w:jc w:val="both"/>
        <w:rPr>
          <w:sz w:val="28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D5918A4" wp14:editId="5FEE2746">
            <wp:extent cx="4572000" cy="2882900"/>
            <wp:effectExtent l="0" t="0" r="1905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1209" w:rsidRDefault="00981209" w:rsidP="00514047">
      <w:pPr>
        <w:pStyle w:val="Default"/>
        <w:rPr>
          <w:sz w:val="28"/>
          <w:szCs w:val="20"/>
        </w:rPr>
      </w:pPr>
    </w:p>
    <w:p w:rsidR="00820DF2" w:rsidRDefault="00820DF2" w:rsidP="00514047">
      <w:pPr>
        <w:pStyle w:val="Default"/>
        <w:rPr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 wp14:anchorId="1323152A" wp14:editId="5CA16C04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0DF2" w:rsidRPr="00A44663" w:rsidRDefault="00820DF2" w:rsidP="00514047">
      <w:pPr>
        <w:pStyle w:val="Default"/>
        <w:rPr>
          <w:sz w:val="20"/>
          <w:szCs w:val="20"/>
        </w:rPr>
      </w:pPr>
    </w:p>
    <w:p w:rsidR="009D674F" w:rsidRPr="009D674F" w:rsidRDefault="000A11B7" w:rsidP="009D674F">
      <w:pPr>
        <w:pStyle w:val="Default"/>
        <w:ind w:firstLine="708"/>
        <w:jc w:val="both"/>
        <w:rPr>
          <w:sz w:val="28"/>
          <w:szCs w:val="20"/>
        </w:rPr>
      </w:pPr>
      <w:r w:rsidRPr="009D674F">
        <w:rPr>
          <w:sz w:val="28"/>
          <w:szCs w:val="20"/>
        </w:rPr>
        <w:t>Определив коэффициент качества  (КК) как отношение количества педагогов имеющих первую и высшую квалификационную категорию (</w:t>
      </w:r>
      <w:proofErr w:type="spellStart"/>
      <w:r w:rsidRPr="009D674F">
        <w:rPr>
          <w:sz w:val="28"/>
          <w:szCs w:val="20"/>
        </w:rPr>
        <w:t>Ппв</w:t>
      </w:r>
      <w:proofErr w:type="spellEnd"/>
      <w:r w:rsidRPr="009D674F">
        <w:rPr>
          <w:sz w:val="28"/>
          <w:szCs w:val="20"/>
        </w:rPr>
        <w:t>)  к общему количеству педагогических работников (</w:t>
      </w:r>
      <w:proofErr w:type="spellStart"/>
      <w:r w:rsidRPr="009D674F">
        <w:rPr>
          <w:sz w:val="28"/>
          <w:szCs w:val="20"/>
        </w:rPr>
        <w:t>Поб</w:t>
      </w:r>
      <w:proofErr w:type="spellEnd"/>
      <w:r w:rsidRPr="009D674F">
        <w:rPr>
          <w:sz w:val="28"/>
          <w:szCs w:val="20"/>
        </w:rPr>
        <w:t>) и а</w:t>
      </w:r>
      <w:r w:rsidR="00A44663" w:rsidRPr="009D674F">
        <w:rPr>
          <w:sz w:val="28"/>
          <w:szCs w:val="20"/>
        </w:rPr>
        <w:t>нализируя данные</w:t>
      </w:r>
      <w:r w:rsidRPr="009D674F">
        <w:rPr>
          <w:sz w:val="28"/>
          <w:szCs w:val="20"/>
        </w:rPr>
        <w:t xml:space="preserve"> </w:t>
      </w:r>
      <w:r w:rsidRPr="009D674F">
        <w:rPr>
          <w:sz w:val="18"/>
          <w:szCs w:val="20"/>
        </w:rPr>
        <w:t xml:space="preserve"> </w:t>
      </w:r>
      <w:r w:rsidRPr="009D674F">
        <w:rPr>
          <w:sz w:val="28"/>
          <w:szCs w:val="20"/>
        </w:rPr>
        <w:t xml:space="preserve">  о педагогических работниках по каждому образовательному  учреждению таблицы 2 </w:t>
      </w:r>
      <w:r w:rsidR="00D37C20" w:rsidRPr="009D674F">
        <w:rPr>
          <w:sz w:val="28"/>
          <w:szCs w:val="20"/>
        </w:rPr>
        <w:t xml:space="preserve">можно </w:t>
      </w:r>
      <w:r w:rsidRPr="009D674F">
        <w:rPr>
          <w:sz w:val="28"/>
          <w:szCs w:val="20"/>
        </w:rPr>
        <w:t xml:space="preserve"> сказать,</w:t>
      </w:r>
      <w:r w:rsidR="00D37C20" w:rsidRPr="009D674F">
        <w:rPr>
          <w:sz w:val="28"/>
          <w:szCs w:val="20"/>
        </w:rPr>
        <w:t xml:space="preserve"> что</w:t>
      </w:r>
      <w:r w:rsidRPr="009D674F">
        <w:rPr>
          <w:sz w:val="28"/>
          <w:szCs w:val="20"/>
        </w:rPr>
        <w:t xml:space="preserve"> в МСО</w:t>
      </w:r>
      <w:r w:rsidR="00D37C20" w:rsidRPr="009D674F">
        <w:rPr>
          <w:sz w:val="28"/>
          <w:szCs w:val="20"/>
        </w:rPr>
        <w:t xml:space="preserve"> есть </w:t>
      </w:r>
      <w:r w:rsidRPr="009D674F">
        <w:rPr>
          <w:sz w:val="28"/>
          <w:szCs w:val="20"/>
        </w:rPr>
        <w:t xml:space="preserve"> </w:t>
      </w:r>
      <w:r w:rsidR="00D37C20" w:rsidRPr="009D674F">
        <w:rPr>
          <w:sz w:val="28"/>
          <w:szCs w:val="20"/>
        </w:rPr>
        <w:t>ОО</w:t>
      </w:r>
      <w:r w:rsidRPr="009D674F">
        <w:rPr>
          <w:sz w:val="28"/>
          <w:szCs w:val="20"/>
        </w:rPr>
        <w:t xml:space="preserve"> с</w:t>
      </w:r>
      <w:r w:rsidR="006B7FC9">
        <w:rPr>
          <w:sz w:val="28"/>
          <w:szCs w:val="20"/>
        </w:rPr>
        <w:t xml:space="preserve">  КК менее 50 % и большая часть из них ШНОР.</w:t>
      </w:r>
    </w:p>
    <w:p w:rsidR="00A44663" w:rsidRPr="009D674F" w:rsidRDefault="00D37C20" w:rsidP="009D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4F">
        <w:rPr>
          <w:rFonts w:ascii="Times New Roman" w:hAnsi="Times New Roman" w:cs="Times New Roman"/>
          <w:sz w:val="28"/>
          <w:szCs w:val="28"/>
        </w:rPr>
        <w:t xml:space="preserve">Это показатель </w:t>
      </w:r>
      <w:r w:rsidR="009D674F" w:rsidRPr="009D674F">
        <w:rPr>
          <w:rFonts w:ascii="Times New Roman" w:hAnsi="Times New Roman" w:cs="Times New Roman"/>
          <w:color w:val="000000"/>
          <w:sz w:val="28"/>
          <w:szCs w:val="28"/>
        </w:rPr>
        <w:t>свидетельствует о невысокой мотивации педагогов и об отсутствии в ОО оптимальных условий для профессионального роста педагогических кадров.</w:t>
      </w:r>
    </w:p>
    <w:p w:rsidR="00820DF2" w:rsidRPr="00D37C20" w:rsidRDefault="00A44663" w:rsidP="00D37C20">
      <w:pPr>
        <w:pStyle w:val="Default"/>
        <w:jc w:val="right"/>
        <w:rPr>
          <w:sz w:val="22"/>
          <w:szCs w:val="20"/>
        </w:rPr>
      </w:pPr>
      <w:r w:rsidRPr="00D37C20">
        <w:rPr>
          <w:sz w:val="22"/>
          <w:szCs w:val="20"/>
        </w:rPr>
        <w:t>Табл. 2</w:t>
      </w:r>
    </w:p>
    <w:p w:rsidR="00A44663" w:rsidRPr="00D37C20" w:rsidRDefault="00A44663" w:rsidP="00514047">
      <w:pPr>
        <w:pStyle w:val="Default"/>
        <w:rPr>
          <w:sz w:val="22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3"/>
        <w:gridCol w:w="2062"/>
        <w:gridCol w:w="710"/>
        <w:gridCol w:w="852"/>
        <w:gridCol w:w="844"/>
        <w:gridCol w:w="1036"/>
        <w:gridCol w:w="760"/>
        <w:gridCol w:w="1016"/>
        <w:gridCol w:w="668"/>
        <w:gridCol w:w="636"/>
        <w:gridCol w:w="674"/>
      </w:tblGrid>
      <w:tr w:rsidR="00514047" w:rsidRPr="00514047" w:rsidTr="00514047">
        <w:trPr>
          <w:trHeight w:val="22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Информация о педагогических работниках </w:t>
            </w:r>
            <w:r w:rsidR="00F92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ОО </w:t>
            </w:r>
            <w:r w:rsidRPr="005140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 Ермаковском районе</w:t>
            </w:r>
            <w:r w:rsidR="00F924A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на 30.06.2021г</w:t>
            </w:r>
          </w:p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</w:p>
        </w:tc>
      </w:tr>
      <w:tr w:rsidR="00514047" w:rsidRPr="00514047" w:rsidTr="00D31135">
        <w:trPr>
          <w:trHeight w:val="58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Всего педагогических </w:t>
            </w: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работников (</w:t>
            </w:r>
            <w:proofErr w:type="spellStart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Поб</w:t>
            </w:r>
            <w:proofErr w:type="spellEnd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Педагогические работники 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Число педагогических работник</w:t>
            </w: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ов без квалификационной категории (первой, высшей), которые не проходят аттестацию на соответствие занимаемой должности (п.18 Порядка аттестации)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lastRenderedPageBreak/>
              <w:t>Не имеют квалификационную категорию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Коэф</w:t>
            </w:r>
            <w:proofErr w:type="gramStart"/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.к</w:t>
            </w:r>
            <w:proofErr w:type="gramEnd"/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ачества</w:t>
            </w:r>
            <w:proofErr w:type="spellEnd"/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14047" w:rsidRPr="00514047" w:rsidTr="00D31135">
        <w:trPr>
          <w:trHeight w:val="196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 имеют квалификационную категорию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Имеют первую квалификационную категорию (</w:t>
            </w:r>
            <w:proofErr w:type="spellStart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Пп</w:t>
            </w:r>
            <w:proofErr w:type="spellEnd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Имеют высшую квалификационную категори</w:t>
            </w:r>
            <w:proofErr w:type="gramStart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ю(</w:t>
            </w:r>
            <w:proofErr w:type="spellStart"/>
            <w:proofErr w:type="gramEnd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Пв</w:t>
            </w:r>
            <w:proofErr w:type="spellEnd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Аттестация на соответствие занимаемой должности</w:t>
            </w: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Критичное состояние (более  50%) 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КК= </w:t>
            </w:r>
            <w:proofErr w:type="spellStart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Пвп</w:t>
            </w:r>
            <w:proofErr w:type="spellEnd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</w:t>
            </w:r>
            <w:proofErr w:type="spellStart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Поб</w:t>
            </w:r>
            <w:proofErr w:type="spellEnd"/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МБОУ «Ермаковская СШ № 1»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39,30%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60,70%</w:t>
            </w:r>
          </w:p>
        </w:tc>
      </w:tr>
      <w:tr w:rsidR="00514047" w:rsidRPr="00514047" w:rsidTr="003F4FAA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1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«Ермаковская СШ № 2»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3F4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3F4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3F4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3F4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3F4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3F4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187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187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24%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14047" w:rsidRPr="00514047" w:rsidRDefault="00514047" w:rsidP="00187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76%</w:t>
            </w:r>
          </w:p>
        </w:tc>
      </w:tr>
      <w:tr w:rsidR="00514047" w:rsidRPr="00514047" w:rsidTr="00D31135">
        <w:trPr>
          <w:trHeight w:val="5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филиал МБОУ «Ермаковская  СШ №2» «Новоозёрновская ОШ»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FF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«Ойская СШ»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68%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«Мигнинская СШ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83%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17%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«Нижнесуэтукская СШ»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39,30%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60,70%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«Разъезженская СШ»  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68%</w:t>
            </w:r>
          </w:p>
        </w:tc>
      </w:tr>
      <w:tr w:rsidR="00514047" w:rsidRPr="00514047" w:rsidTr="00D31135">
        <w:trPr>
          <w:trHeight w:val="5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Филиал МБОУ «Разъезженская СШ» «Большереченская СШ»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38%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62%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«Семенниковская СОШ»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62%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38%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«Танзыбейская СШ»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45%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55%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«Жеблахтинская СШ»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71%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29%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«Григорьевская СШ»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77%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23%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«Новополтавская СШ»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45%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55%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«Верхнеусинская СШ»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75%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35%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МБОУ «Ивановская СШ»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43%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57%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«Салбинская СШ»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76%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24%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"Араданская ОШ"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100%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0%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МБОУ "Нижнеусинская НШ"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A56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19</w:t>
            </w:r>
            <w:r w:rsidR="00A56666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135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  <w:t>49,60%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51%</w:t>
            </w:r>
          </w:p>
        </w:tc>
      </w:tr>
      <w:tr w:rsidR="00514047" w:rsidRPr="00514047" w:rsidTr="001871BC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DCDB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F2DCDB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F2DCDB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514047" w:rsidRPr="001871BC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E5DFEC" w:themeColor="accent4" w:themeTint="33"/>
                <w:sz w:val="18"/>
                <w:szCs w:val="20"/>
                <w:lang w:eastAsia="ru-RU"/>
              </w:rPr>
            </w:pPr>
            <w:r w:rsidRPr="001871BC">
              <w:rPr>
                <w:rFonts w:ascii="Calibri" w:eastAsia="Times New Roman" w:hAnsi="Calibri" w:cs="Calibri"/>
                <w:color w:val="E5DFEC" w:themeColor="accent4" w:themeTint="33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514047" w:rsidRPr="001871BC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CCC0D9" w:themeColor="accent4" w:themeTint="66"/>
                <w:sz w:val="18"/>
                <w:szCs w:val="20"/>
                <w:lang w:eastAsia="ru-RU"/>
              </w:rPr>
            </w:pPr>
            <w:r w:rsidRPr="001871BC">
              <w:rPr>
                <w:rFonts w:ascii="Calibri" w:eastAsia="Times New Roman" w:hAnsi="Calibri" w:cs="Calibri"/>
                <w:color w:val="CCC0D9" w:themeColor="accent4" w:themeTint="66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514047" w:rsidRPr="001871BC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CCC0D9" w:themeColor="accent4" w:themeTint="66"/>
                <w:sz w:val="18"/>
                <w:szCs w:val="20"/>
                <w:lang w:eastAsia="ru-RU"/>
              </w:rPr>
            </w:pPr>
            <w:r w:rsidRPr="001871BC">
              <w:rPr>
                <w:rFonts w:ascii="Calibri" w:eastAsia="Times New Roman" w:hAnsi="Calibri" w:cs="Calibri"/>
                <w:color w:val="CCC0D9" w:themeColor="accent4" w:themeTint="66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514047" w:rsidRPr="001871BC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CCC0D9" w:themeColor="accent4" w:themeTint="66"/>
                <w:sz w:val="18"/>
                <w:szCs w:val="20"/>
                <w:lang w:eastAsia="ru-RU"/>
              </w:rPr>
            </w:pPr>
            <w:r w:rsidRPr="001871BC">
              <w:rPr>
                <w:rFonts w:ascii="Calibri" w:eastAsia="Times New Roman" w:hAnsi="Calibri" w:cs="Calibri"/>
                <w:color w:val="CCC0D9" w:themeColor="accent4" w:themeTint="66"/>
                <w:sz w:val="18"/>
                <w:szCs w:val="20"/>
                <w:lang w:eastAsia="ru-RU"/>
              </w:rPr>
              <w:t> </w:t>
            </w:r>
          </w:p>
        </w:tc>
      </w:tr>
      <w:tr w:rsidR="00514047" w:rsidRPr="00514047" w:rsidTr="00D31135">
        <w:trPr>
          <w:trHeight w:val="5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Ермаковский детский сад №1 комбинированного вида «Ромашка»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D3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  <w:r w:rsidR="00D3113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  <w:r w:rsidR="0083794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</w:tr>
      <w:tr w:rsidR="00514047" w:rsidRPr="00514047" w:rsidTr="00D31135">
        <w:trPr>
          <w:trHeight w:val="5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«Ермаковский детский сад № 3 комбинированного вида»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  <w:r w:rsidR="0083794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67%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33%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«Ермаковский детский сад № 4»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100%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 Н-</w:t>
            </w:r>
            <w:proofErr w:type="spellStart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суэтукский</w:t>
            </w:r>
            <w:proofErr w:type="spellEnd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  <w:r w:rsidR="0083794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</w:tr>
      <w:tr w:rsidR="00514047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" </w:t>
            </w:r>
            <w:proofErr w:type="spellStart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Ойский</w:t>
            </w:r>
            <w:proofErr w:type="spellEnd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детский сад"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  <w:r w:rsidR="0083794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</w:tr>
      <w:tr w:rsidR="00514047" w:rsidRPr="00514047" w:rsidTr="00D31135">
        <w:trPr>
          <w:trHeight w:val="5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Ермаковский детский сад №2 комбинированного вида «Родничок»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  <w:r w:rsidR="0083794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57%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43%</w:t>
            </w:r>
          </w:p>
        </w:tc>
      </w:tr>
      <w:tr w:rsidR="00514047" w:rsidRPr="00514047" w:rsidTr="00D31135">
        <w:trPr>
          <w:trHeight w:val="56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514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047" w:rsidRPr="00514047" w:rsidRDefault="00514047" w:rsidP="0018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МБДОУ "Ермаковский детский сад комбинированного вида №5"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047" w:rsidRPr="00514047" w:rsidRDefault="00514047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514047" w:rsidP="00187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837948" w:rsidP="00187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29%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047" w:rsidRPr="00514047" w:rsidRDefault="003C3522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71%</w:t>
            </w:r>
          </w:p>
        </w:tc>
      </w:tr>
      <w:tr w:rsidR="00837948" w:rsidRPr="00514047" w:rsidTr="00837948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МБДОУ </w:t>
            </w:r>
            <w:r w:rsidRPr="008379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"</w:t>
            </w:r>
            <w:proofErr w:type="spellStart"/>
            <w:r w:rsidRPr="008379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Танзыбейский</w:t>
            </w:r>
            <w:proofErr w:type="spellEnd"/>
            <w:r w:rsidRPr="0083794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детский сад"</w:t>
            </w: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379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379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379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379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8" w:rsidRPr="00837948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3794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37948" w:rsidRPr="00837948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71%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29%</w:t>
            </w:r>
          </w:p>
        </w:tc>
      </w:tr>
      <w:tr w:rsidR="00837948" w:rsidRPr="00514047" w:rsidTr="001871BC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837948" w:rsidRPr="00514047" w:rsidTr="00A70366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МБУДО «Ермаковская ДЮСШ «</w:t>
            </w:r>
            <w:proofErr w:type="spellStart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Ланс</w:t>
            </w:r>
            <w:proofErr w:type="spellEnd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8" w:rsidRDefault="00837948">
            <w:r w:rsidRPr="008E7B7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</w:tr>
      <w:tr w:rsidR="00837948" w:rsidRPr="00514047" w:rsidTr="00A70366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МБУ </w:t>
            </w:r>
            <w:proofErr w:type="gramStart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</w:t>
            </w:r>
            <w:proofErr w:type="gramEnd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Ермаковская СЮТ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48" w:rsidRDefault="00837948">
            <w:r w:rsidRPr="008E7B7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50%</w:t>
            </w:r>
          </w:p>
        </w:tc>
      </w:tr>
      <w:tr w:rsidR="00837948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МБУ </w:t>
            </w:r>
            <w:proofErr w:type="gramStart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</w:t>
            </w:r>
            <w:proofErr w:type="gramEnd"/>
            <w:r w:rsidRPr="0051404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Ермаковская ЦДО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46%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64%</w:t>
            </w:r>
          </w:p>
        </w:tc>
      </w:tr>
      <w:tr w:rsidR="00837948" w:rsidRPr="00514047" w:rsidTr="00D31135">
        <w:trPr>
          <w:trHeight w:val="29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48" w:rsidRPr="00514047" w:rsidRDefault="00837948" w:rsidP="00837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</w:pPr>
            <w:r w:rsidRPr="00514047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</w:tbl>
    <w:p w:rsidR="00514047" w:rsidRPr="00514047" w:rsidRDefault="00514047" w:rsidP="00514047">
      <w:pPr>
        <w:pStyle w:val="Default"/>
        <w:rPr>
          <w:sz w:val="18"/>
          <w:szCs w:val="20"/>
        </w:rPr>
      </w:pPr>
    </w:p>
    <w:p w:rsidR="00F60752" w:rsidRDefault="00F60752" w:rsidP="00370958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Предложения по итогам проведенного анализа</w:t>
      </w:r>
      <w:r w:rsidRPr="00F6075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81209">
        <w:rPr>
          <w:rFonts w:eastAsia="Times New Roman"/>
          <w:b/>
          <w:bCs/>
          <w:sz w:val="28"/>
          <w:szCs w:val="28"/>
          <w:lang w:eastAsia="ru-RU"/>
        </w:rPr>
        <w:t>о педагогических работниках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60752">
        <w:rPr>
          <w:b/>
          <w:sz w:val="28"/>
          <w:szCs w:val="28"/>
        </w:rPr>
        <w:t>образовательным организациям:</w:t>
      </w:r>
    </w:p>
    <w:p w:rsidR="00370958" w:rsidRPr="00F60752" w:rsidRDefault="00370958" w:rsidP="00370958">
      <w:pPr>
        <w:pStyle w:val="Default"/>
        <w:jc w:val="center"/>
      </w:pPr>
    </w:p>
    <w:p w:rsidR="00C12BC5" w:rsidRDefault="00F60752" w:rsidP="00C12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C12BC5">
        <w:rPr>
          <w:sz w:val="28"/>
          <w:szCs w:val="28"/>
          <w:u w:val="single"/>
        </w:rPr>
        <w:t xml:space="preserve">Муниципальной методической службе </w:t>
      </w:r>
      <w:r w:rsidR="009D674F" w:rsidRPr="00F60752">
        <w:rPr>
          <w:sz w:val="28"/>
          <w:szCs w:val="28"/>
          <w:u w:val="single"/>
        </w:rPr>
        <w:t>Ермаковского района</w:t>
      </w:r>
      <w:r w:rsidR="009D674F" w:rsidRPr="009D674F">
        <w:rPr>
          <w:sz w:val="28"/>
          <w:szCs w:val="28"/>
        </w:rPr>
        <w:t xml:space="preserve"> спланировать работу с ОО  с</w:t>
      </w:r>
      <w:r w:rsidR="009D674F">
        <w:rPr>
          <w:sz w:val="28"/>
          <w:szCs w:val="28"/>
        </w:rPr>
        <w:t xml:space="preserve"> учетом проблемных полей</w:t>
      </w:r>
      <w:r>
        <w:rPr>
          <w:sz w:val="28"/>
          <w:szCs w:val="28"/>
        </w:rPr>
        <w:t>, выявленных при проведении  анализа</w:t>
      </w:r>
      <w:r w:rsidRPr="00F6075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информации  образовательных организаций о </w:t>
      </w:r>
      <w:r w:rsidRPr="00A56666">
        <w:rPr>
          <w:sz w:val="28"/>
          <w:szCs w:val="28"/>
        </w:rPr>
        <w:t>квалификации</w:t>
      </w:r>
      <w:r>
        <w:rPr>
          <w:sz w:val="28"/>
          <w:szCs w:val="20"/>
        </w:rPr>
        <w:t xml:space="preserve"> педагогических работников</w:t>
      </w:r>
      <w:r w:rsidR="00C12BC5">
        <w:t>.</w:t>
      </w:r>
      <w:r w:rsidR="005E6E01">
        <w:t xml:space="preserve"> </w:t>
      </w:r>
    </w:p>
    <w:p w:rsidR="00C12BC5" w:rsidRPr="00C12BC5" w:rsidRDefault="00C12BC5" w:rsidP="00C12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2). О</w:t>
      </w:r>
      <w:r w:rsidR="005E6E01">
        <w:rPr>
          <w:sz w:val="28"/>
          <w:szCs w:val="28"/>
        </w:rPr>
        <w:t xml:space="preserve">рганизовать методическое сопровождение </w:t>
      </w:r>
      <w:r w:rsidR="00AB602A" w:rsidRPr="00AB602A">
        <w:rPr>
          <w:sz w:val="28"/>
          <w:szCs w:val="28"/>
        </w:rPr>
        <w:t xml:space="preserve">персональных траекторий профессионального развития </w:t>
      </w:r>
      <w:r w:rsidR="00AB602A" w:rsidRPr="00C12BC5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(ИОМ)</w:t>
      </w:r>
      <w:r w:rsidR="00AB602A" w:rsidRPr="00C12BC5">
        <w:rPr>
          <w:sz w:val="28"/>
          <w:szCs w:val="28"/>
        </w:rPr>
        <w:t xml:space="preserve"> и оказание практической помощи педагогическим работникам; </w:t>
      </w:r>
    </w:p>
    <w:p w:rsidR="00F60752" w:rsidRPr="00AB602A" w:rsidRDefault="00C12BC5" w:rsidP="00C12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Усилить работу по </w:t>
      </w:r>
      <w:r w:rsidR="00AB602A" w:rsidRPr="00C12BC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AB602A" w:rsidRPr="00C12BC5">
        <w:rPr>
          <w:sz w:val="28"/>
          <w:szCs w:val="28"/>
        </w:rPr>
        <w:t xml:space="preserve"> взаимодействия и взаимообучения</w:t>
      </w:r>
      <w:r>
        <w:rPr>
          <w:sz w:val="28"/>
          <w:szCs w:val="28"/>
        </w:rPr>
        <w:t xml:space="preserve"> ОО по созданию условий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повышению</w:t>
      </w:r>
      <w:proofErr w:type="gramEnd"/>
      <w:r>
        <w:rPr>
          <w:sz w:val="28"/>
          <w:szCs w:val="28"/>
        </w:rPr>
        <w:t xml:space="preserve"> квалификации педагогов</w:t>
      </w:r>
      <w:r w:rsidR="00AB602A" w:rsidRPr="00C12BC5">
        <w:rPr>
          <w:sz w:val="28"/>
          <w:szCs w:val="28"/>
        </w:rPr>
        <w:t xml:space="preserve">; </w:t>
      </w:r>
      <w:r w:rsidRPr="00C12BC5">
        <w:rPr>
          <w:sz w:val="28"/>
          <w:szCs w:val="28"/>
        </w:rPr>
        <w:br/>
      </w:r>
      <w:r>
        <w:rPr>
          <w:sz w:val="28"/>
          <w:szCs w:val="28"/>
        </w:rPr>
        <w:t>4). Создать условия</w:t>
      </w:r>
      <w:r w:rsidR="00AB602A" w:rsidRPr="00C12BC5">
        <w:rPr>
          <w:sz w:val="28"/>
          <w:szCs w:val="28"/>
        </w:rPr>
        <w:t xml:space="preserve"> педагогам в обобщении и презентации своего опыта работы</w:t>
      </w:r>
      <w:r w:rsidR="00AB602A">
        <w:t>.</w:t>
      </w:r>
    </w:p>
    <w:p w:rsidR="005E6E01" w:rsidRDefault="00F60752" w:rsidP="005E6E01">
      <w:pPr>
        <w:pStyle w:val="Default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2). </w:t>
      </w:r>
      <w:r w:rsidRPr="00F60752">
        <w:rPr>
          <w:sz w:val="28"/>
          <w:szCs w:val="28"/>
          <w:u w:val="single"/>
        </w:rPr>
        <w:t>Образовательным организациям</w:t>
      </w:r>
      <w:r w:rsidRPr="00F60752">
        <w:rPr>
          <w:b/>
          <w:sz w:val="28"/>
          <w:szCs w:val="28"/>
        </w:rPr>
        <w:t>:</w:t>
      </w:r>
      <w:r>
        <w:rPr>
          <w:sz w:val="28"/>
          <w:szCs w:val="20"/>
        </w:rPr>
        <w:t xml:space="preserve"> </w:t>
      </w:r>
    </w:p>
    <w:p w:rsidR="009D674F" w:rsidRPr="00F60752" w:rsidRDefault="00775B5C" w:rsidP="005E6E01">
      <w:pPr>
        <w:pStyle w:val="Default"/>
        <w:jc w:val="both"/>
        <w:rPr>
          <w:sz w:val="28"/>
          <w:szCs w:val="28"/>
        </w:rPr>
      </w:pPr>
      <w:r>
        <w:rPr>
          <w:sz w:val="28"/>
          <w:szCs w:val="20"/>
        </w:rPr>
        <w:t>1)</w:t>
      </w:r>
      <w:r w:rsidR="00A91C2F">
        <w:rPr>
          <w:sz w:val="28"/>
          <w:szCs w:val="20"/>
        </w:rPr>
        <w:t xml:space="preserve">Усилить </w:t>
      </w:r>
      <w:r w:rsidR="009D674F">
        <w:rPr>
          <w:sz w:val="28"/>
          <w:szCs w:val="20"/>
        </w:rPr>
        <w:t>работ</w:t>
      </w:r>
      <w:r>
        <w:rPr>
          <w:sz w:val="28"/>
          <w:szCs w:val="20"/>
        </w:rPr>
        <w:t xml:space="preserve">у </w:t>
      </w:r>
      <w:r w:rsidR="009D674F">
        <w:rPr>
          <w:sz w:val="28"/>
          <w:szCs w:val="20"/>
        </w:rPr>
        <w:t>всего коллектива  по повышению профессионального мастерства педагогов</w:t>
      </w:r>
      <w:r>
        <w:rPr>
          <w:sz w:val="28"/>
          <w:szCs w:val="20"/>
        </w:rPr>
        <w:t xml:space="preserve"> </w:t>
      </w:r>
      <w:r w:rsidR="009D674F">
        <w:rPr>
          <w:sz w:val="28"/>
          <w:szCs w:val="20"/>
        </w:rPr>
        <w:t xml:space="preserve"> и </w:t>
      </w:r>
      <w:r w:rsidR="009D674F" w:rsidRPr="000A11B7">
        <w:rPr>
          <w:sz w:val="28"/>
          <w:szCs w:val="20"/>
        </w:rPr>
        <w:t xml:space="preserve"> </w:t>
      </w:r>
      <w:r w:rsidR="009D674F">
        <w:rPr>
          <w:sz w:val="28"/>
          <w:szCs w:val="20"/>
        </w:rPr>
        <w:t xml:space="preserve">развитию наставничества, как новой формы работы. </w:t>
      </w:r>
    </w:p>
    <w:p w:rsidR="00AB602A" w:rsidRDefault="00775B5C" w:rsidP="00514047">
      <w:pPr>
        <w:pStyle w:val="Default"/>
      </w:pPr>
      <w:r>
        <w:rPr>
          <w:sz w:val="28"/>
          <w:szCs w:val="28"/>
        </w:rPr>
        <w:t>2).М</w:t>
      </w:r>
      <w:r w:rsidR="005E6E01">
        <w:rPr>
          <w:sz w:val="28"/>
          <w:szCs w:val="28"/>
        </w:rPr>
        <w:t>отивировать педагогов к обобщению собственного педагогического опыта, повышению квалификации</w:t>
      </w:r>
      <w:r>
        <w:rPr>
          <w:sz w:val="28"/>
          <w:szCs w:val="28"/>
        </w:rPr>
        <w:t xml:space="preserve"> на основе ИОМ</w:t>
      </w:r>
      <w:r w:rsidR="005E6E01">
        <w:rPr>
          <w:sz w:val="28"/>
          <w:szCs w:val="28"/>
        </w:rPr>
        <w:t>.</w:t>
      </w:r>
      <w:r w:rsidR="00AB602A" w:rsidRPr="00AB602A">
        <w:t xml:space="preserve"> </w:t>
      </w:r>
    </w:p>
    <w:p w:rsidR="00514047" w:rsidRDefault="00A91C2F" w:rsidP="00514047">
      <w:pPr>
        <w:pStyle w:val="Default"/>
        <w:rPr>
          <w:sz w:val="28"/>
        </w:rPr>
      </w:pPr>
      <w:r w:rsidRPr="00A91C2F">
        <w:rPr>
          <w:sz w:val="28"/>
        </w:rPr>
        <w:t xml:space="preserve">3) </w:t>
      </w:r>
      <w:r>
        <w:rPr>
          <w:sz w:val="28"/>
        </w:rPr>
        <w:t>С</w:t>
      </w:r>
      <w:r w:rsidR="00AB602A" w:rsidRPr="00A91C2F">
        <w:rPr>
          <w:sz w:val="28"/>
        </w:rPr>
        <w:t>тимулирова</w:t>
      </w:r>
      <w:r w:rsidRPr="00A91C2F">
        <w:rPr>
          <w:sz w:val="28"/>
        </w:rPr>
        <w:t>ть</w:t>
      </w:r>
      <w:r w:rsidR="00AB602A" w:rsidRPr="00A91C2F">
        <w:rPr>
          <w:sz w:val="28"/>
        </w:rPr>
        <w:t xml:space="preserve"> участи</w:t>
      </w:r>
      <w:r w:rsidRPr="00A91C2F">
        <w:rPr>
          <w:sz w:val="28"/>
        </w:rPr>
        <w:t>е</w:t>
      </w:r>
      <w:r w:rsidR="00AB602A" w:rsidRPr="00A91C2F">
        <w:rPr>
          <w:sz w:val="28"/>
        </w:rPr>
        <w:t xml:space="preserve"> педагогических работников в деятельности профессиональных </w:t>
      </w:r>
      <w:r w:rsidRPr="00A91C2F">
        <w:rPr>
          <w:sz w:val="28"/>
        </w:rPr>
        <w:t>сообществ</w:t>
      </w:r>
      <w:r>
        <w:rPr>
          <w:sz w:val="28"/>
        </w:rPr>
        <w:t>.</w:t>
      </w:r>
    </w:p>
    <w:p w:rsidR="009731E4" w:rsidRDefault="00F20896" w:rsidP="00514047">
      <w:pPr>
        <w:pStyle w:val="Default"/>
        <w:rPr>
          <w:sz w:val="28"/>
        </w:rPr>
      </w:pPr>
      <w:r>
        <w:rPr>
          <w:sz w:val="28"/>
        </w:rPr>
        <w:t>4).</w:t>
      </w:r>
      <w:r w:rsidR="009731E4">
        <w:rPr>
          <w:sz w:val="28"/>
        </w:rPr>
        <w:t>Рекомендовать для работы руководителям ОО</w:t>
      </w:r>
      <w:r>
        <w:rPr>
          <w:sz w:val="28"/>
        </w:rPr>
        <w:t xml:space="preserve">  </w:t>
      </w:r>
      <w:r w:rsidR="009731E4">
        <w:rPr>
          <w:sz w:val="28"/>
        </w:rPr>
        <w:t xml:space="preserve"> </w:t>
      </w:r>
    </w:p>
    <w:p w:rsidR="009731E4" w:rsidRDefault="009731E4" w:rsidP="00514047">
      <w:pPr>
        <w:pStyle w:val="Default"/>
        <w:rPr>
          <w:rFonts w:ascii="Circe-Light" w:hAnsi="Circe-Light"/>
          <w:sz w:val="30"/>
          <w:szCs w:val="30"/>
          <w:shd w:val="clear" w:color="auto" w:fill="FFFFFF"/>
        </w:rPr>
      </w:pPr>
      <w:r w:rsidRPr="009731E4">
        <w:rPr>
          <w:rFonts w:ascii="Circe-Bold" w:hAnsi="Circe-Bold"/>
          <w:b/>
          <w:bCs/>
          <w:sz w:val="28"/>
          <w:szCs w:val="30"/>
          <w:bdr w:val="none" w:sz="0" w:space="0" w:color="auto" w:frame="1"/>
          <w:shd w:val="clear" w:color="auto" w:fill="FFFFFF"/>
        </w:rPr>
        <w:t>Как повысить реальную эффективность обучения учителей?</w:t>
      </w:r>
      <w:r w:rsidRPr="009731E4">
        <w:t xml:space="preserve"> </w:t>
      </w:r>
      <w:hyperlink r:id="rId9" w:tgtFrame="_blank" w:history="1">
        <w:r>
          <w:rPr>
            <w:rStyle w:val="a5"/>
            <w:rFonts w:ascii="Circe-Light" w:hAnsi="Circe-Light"/>
            <w:color w:val="3338A8"/>
            <w:sz w:val="30"/>
            <w:szCs w:val="30"/>
            <w:bdr w:val="none" w:sz="0" w:space="0" w:color="auto" w:frame="1"/>
            <w:shd w:val="clear" w:color="auto" w:fill="FFFFFF"/>
          </w:rPr>
          <w:t>«Кураторская методика»</w:t>
        </w:r>
      </w:hyperlink>
      <w:r>
        <w:rPr>
          <w:rFonts w:ascii="Circe-Light" w:hAnsi="Circe-Light"/>
          <w:sz w:val="30"/>
          <w:szCs w:val="30"/>
          <w:shd w:val="clear" w:color="auto" w:fill="FFFFFF"/>
        </w:rPr>
        <w:t xml:space="preserve"> — модель методической работы в школе, в </w:t>
      </w:r>
      <w:r>
        <w:rPr>
          <w:rFonts w:ascii="Circe-Light" w:hAnsi="Circe-Light"/>
          <w:sz w:val="30"/>
          <w:szCs w:val="30"/>
          <w:shd w:val="clear" w:color="auto" w:fill="FFFFFF"/>
        </w:rPr>
        <w:lastRenderedPageBreak/>
        <w:t>которой педагоги учатся друг у друга на основе прицельного наблюдения в ходе уроков.</w:t>
      </w:r>
    </w:p>
    <w:p w:rsidR="00F20896" w:rsidRPr="009731E4" w:rsidRDefault="00F20896" w:rsidP="00F20896">
      <w:pPr>
        <w:pStyle w:val="Default"/>
        <w:rPr>
          <w:rStyle w:val="a6"/>
          <w:color w:val="303030"/>
          <w:sz w:val="28"/>
          <w:szCs w:val="23"/>
        </w:rPr>
      </w:pPr>
      <w:r w:rsidRPr="009731E4">
        <w:rPr>
          <w:rStyle w:val="a6"/>
          <w:color w:val="303030"/>
          <w:sz w:val="28"/>
          <w:szCs w:val="23"/>
        </w:rPr>
        <w:t xml:space="preserve">Для </w:t>
      </w:r>
      <w:r>
        <w:rPr>
          <w:rStyle w:val="a6"/>
          <w:color w:val="303030"/>
          <w:sz w:val="28"/>
          <w:szCs w:val="23"/>
        </w:rPr>
        <w:t xml:space="preserve">работы с </w:t>
      </w:r>
      <w:r w:rsidRPr="009731E4">
        <w:rPr>
          <w:rStyle w:val="a6"/>
          <w:color w:val="303030"/>
          <w:sz w:val="28"/>
          <w:szCs w:val="23"/>
        </w:rPr>
        <w:t>молоды</w:t>
      </w:r>
      <w:r>
        <w:rPr>
          <w:rStyle w:val="a6"/>
          <w:color w:val="303030"/>
          <w:sz w:val="28"/>
          <w:szCs w:val="23"/>
        </w:rPr>
        <w:t>ми</w:t>
      </w:r>
      <w:r w:rsidRPr="009731E4">
        <w:rPr>
          <w:rStyle w:val="a6"/>
          <w:color w:val="303030"/>
          <w:sz w:val="28"/>
          <w:szCs w:val="23"/>
        </w:rPr>
        <w:t xml:space="preserve"> педагог</w:t>
      </w:r>
      <w:r>
        <w:rPr>
          <w:rStyle w:val="a6"/>
          <w:color w:val="303030"/>
          <w:sz w:val="28"/>
          <w:szCs w:val="23"/>
        </w:rPr>
        <w:t>ами</w:t>
      </w:r>
      <w:r w:rsidRPr="009731E4">
        <w:rPr>
          <w:rStyle w:val="a6"/>
          <w:color w:val="303030"/>
          <w:sz w:val="28"/>
          <w:szCs w:val="23"/>
        </w:rPr>
        <w:t>:</w:t>
      </w:r>
    </w:p>
    <w:p w:rsidR="009731E4" w:rsidRDefault="006C3B9C" w:rsidP="00514047">
      <w:pPr>
        <w:pStyle w:val="Default"/>
        <w:rPr>
          <w:rStyle w:val="a6"/>
          <w:color w:val="303030"/>
          <w:sz w:val="28"/>
          <w:szCs w:val="23"/>
        </w:rPr>
      </w:pPr>
      <w:hyperlink r:id="rId10" w:history="1">
        <w:r w:rsidR="009731E4" w:rsidRPr="009731E4">
          <w:rPr>
            <w:rStyle w:val="a5"/>
            <w:bCs/>
            <w:color w:val="00719B"/>
            <w:sz w:val="28"/>
            <w:szCs w:val="23"/>
          </w:rPr>
          <w:t>Анализ и адресные рекомендации по итогам работы Школы молодого педагога</w:t>
        </w:r>
      </w:hyperlink>
      <w:r w:rsidR="00B45A27">
        <w:rPr>
          <w:rStyle w:val="a6"/>
          <w:color w:val="303030"/>
          <w:sz w:val="28"/>
          <w:szCs w:val="23"/>
        </w:rPr>
        <w:t>.</w:t>
      </w:r>
    </w:p>
    <w:p w:rsidR="00276754" w:rsidRPr="00940E82" w:rsidRDefault="006C3B9C" w:rsidP="00276754">
      <w:pPr>
        <w:pStyle w:val="Default"/>
        <w:rPr>
          <w:rFonts w:ascii="Circe-Light" w:hAnsi="Circe-Light"/>
          <w:sz w:val="28"/>
          <w:szCs w:val="28"/>
          <w:shd w:val="clear" w:color="auto" w:fill="FFFFFF"/>
        </w:rPr>
      </w:pPr>
      <w:hyperlink r:id="rId11" w:tgtFrame="_blank" w:history="1">
        <w:r w:rsidR="00276754" w:rsidRPr="00940E82">
          <w:rPr>
            <w:rStyle w:val="a5"/>
            <w:color w:val="00719B"/>
            <w:sz w:val="28"/>
            <w:szCs w:val="28"/>
          </w:rPr>
          <w:t>Технология "Исследование урока"</w:t>
        </w:r>
      </w:hyperlink>
    </w:p>
    <w:p w:rsidR="00B45A27" w:rsidRPr="009731E4" w:rsidRDefault="00B45A27" w:rsidP="00514047">
      <w:pPr>
        <w:pStyle w:val="Default"/>
        <w:rPr>
          <w:sz w:val="36"/>
          <w:szCs w:val="28"/>
        </w:rPr>
      </w:pPr>
    </w:p>
    <w:p w:rsidR="00775B5C" w:rsidRPr="009731E4" w:rsidRDefault="00775B5C" w:rsidP="00514047">
      <w:pPr>
        <w:pStyle w:val="Default"/>
        <w:rPr>
          <w:sz w:val="32"/>
          <w:szCs w:val="20"/>
        </w:rPr>
      </w:pPr>
    </w:p>
    <w:sectPr w:rsidR="00775B5C" w:rsidRPr="0097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Bold">
    <w:altName w:val="Times New Roman"/>
    <w:panose1 w:val="00000000000000000000"/>
    <w:charset w:val="00"/>
    <w:family w:val="roman"/>
    <w:notTrueType/>
    <w:pitch w:val="default"/>
  </w:font>
  <w:font w:name="Circe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321"/>
    <w:multiLevelType w:val="hybridMultilevel"/>
    <w:tmpl w:val="CB54F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D"/>
    <w:rsid w:val="000A11B7"/>
    <w:rsid w:val="000C0664"/>
    <w:rsid w:val="00133974"/>
    <w:rsid w:val="00134719"/>
    <w:rsid w:val="001871BC"/>
    <w:rsid w:val="00276754"/>
    <w:rsid w:val="00370958"/>
    <w:rsid w:val="003C3522"/>
    <w:rsid w:val="003F4FAA"/>
    <w:rsid w:val="00407861"/>
    <w:rsid w:val="0042363D"/>
    <w:rsid w:val="004C1F97"/>
    <w:rsid w:val="00514047"/>
    <w:rsid w:val="00536E26"/>
    <w:rsid w:val="005716E7"/>
    <w:rsid w:val="0059436A"/>
    <w:rsid w:val="005E6E01"/>
    <w:rsid w:val="00633D7B"/>
    <w:rsid w:val="006938E5"/>
    <w:rsid w:val="006B7FC9"/>
    <w:rsid w:val="006C3B9C"/>
    <w:rsid w:val="00775B5C"/>
    <w:rsid w:val="007C2DE1"/>
    <w:rsid w:val="00820DF2"/>
    <w:rsid w:val="00837948"/>
    <w:rsid w:val="008445BA"/>
    <w:rsid w:val="00881AF5"/>
    <w:rsid w:val="008D5544"/>
    <w:rsid w:val="00911FEC"/>
    <w:rsid w:val="00940E82"/>
    <w:rsid w:val="009731E4"/>
    <w:rsid w:val="00981209"/>
    <w:rsid w:val="009D674F"/>
    <w:rsid w:val="00A277AD"/>
    <w:rsid w:val="00A44663"/>
    <w:rsid w:val="00A56666"/>
    <w:rsid w:val="00A91C2F"/>
    <w:rsid w:val="00AB602A"/>
    <w:rsid w:val="00AD364D"/>
    <w:rsid w:val="00AD7972"/>
    <w:rsid w:val="00B45A27"/>
    <w:rsid w:val="00B4603D"/>
    <w:rsid w:val="00BE2B19"/>
    <w:rsid w:val="00C12BC5"/>
    <w:rsid w:val="00D31135"/>
    <w:rsid w:val="00D359DC"/>
    <w:rsid w:val="00D37C20"/>
    <w:rsid w:val="00D9268C"/>
    <w:rsid w:val="00EC7357"/>
    <w:rsid w:val="00F20896"/>
    <w:rsid w:val="00F2282B"/>
    <w:rsid w:val="00F42547"/>
    <w:rsid w:val="00F60752"/>
    <w:rsid w:val="00F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31E4"/>
    <w:rPr>
      <w:color w:val="0000FF"/>
      <w:u w:val="single"/>
    </w:rPr>
  </w:style>
  <w:style w:type="character" w:styleId="a6">
    <w:name w:val="Strong"/>
    <w:basedOn w:val="a0"/>
    <w:uiPriority w:val="22"/>
    <w:qFormat/>
    <w:rsid w:val="009731E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208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31E4"/>
    <w:rPr>
      <w:color w:val="0000FF"/>
      <w:u w:val="single"/>
    </w:rPr>
  </w:style>
  <w:style w:type="character" w:styleId="a6">
    <w:name w:val="Strong"/>
    <w:basedOn w:val="a0"/>
    <w:uiPriority w:val="22"/>
    <w:qFormat/>
    <w:rsid w:val="009731E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20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clck.ru/RXLa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rmuo.ru/data/monitoring/analiz_shm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rektoria.org/academy/kompleksnye-programmy-vnedreniya-izmeneniy-v-shkolakh.php%2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54;&#1090;&#1095;&#1077;&#1090;_&#1040;&#1090;&#1090;&#1077;&#1089;&#1090;&#1072;&#1094;&#1080;&#1103;_21\&#1058;&#1072;&#1073;&#1083;&#1080;&#1094;&#1099;_&#1089;&#1088;&#1072;&#1074;&#1085;&#1077;&#1085;&#1080;&#1077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8;&#1072;&#1090;&#1100;&#1103;&#1085;&#1072;\Desktop\&#1054;&#1090;&#1095;&#1077;&#1090;_&#1040;&#1090;&#1090;&#1077;&#1089;&#1090;&#1072;&#1094;&#1080;&#1103;_21\&#1058;&#1072;&#1073;&#1083;&#1080;&#1094;&#1099;_&#1089;&#1088;&#1072;&#1074;&#1085;&#1077;&#1085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54;&#1090;&#1095;&#1077;&#1090;_&#1040;&#1090;&#1090;&#1077;&#1089;&#1090;&#1072;&#1094;&#1080;&#1103;_21\&#1058;&#1072;&#1073;&#1083;&#1080;&#1094;&#1099;_&#1089;&#1088;&#1072;&#1074;&#1085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Квалификация педагогов в школах Ермаковского района  </a:t>
            </a:r>
          </a:p>
          <a:p>
            <a:pPr>
              <a:defRPr/>
            </a:pPr>
            <a:r>
              <a:rPr lang="ru-RU" sz="1100"/>
              <a:t>в 2020 и 2021 годах </a:t>
            </a:r>
          </a:p>
        </c:rich>
      </c:tx>
      <c:layout>
        <c:manualLayout>
          <c:xMode val="edge"/>
          <c:yMode val="edge"/>
          <c:x val="0.12945822397200352"/>
          <c:y val="1.34149668299336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2020 год</c:v>
          </c:tx>
          <c:spPr>
            <a:solidFill>
              <a:srgbClr val="00B0F0"/>
            </a:solidFill>
          </c:spPr>
          <c:invertIfNegative val="0"/>
          <c:cat>
            <c:strRef>
              <c:f>Лист1!$A$3:$G$3</c:f>
              <c:strCache>
                <c:ptCount val="7"/>
                <c:pt idx="0">
                  <c:v>Школы</c:v>
                </c:pt>
                <c:pt idx="1">
                  <c:v>Всего педагогов</c:v>
                </c:pt>
                <c:pt idx="2">
                  <c:v>Нет категории</c:v>
                </c:pt>
                <c:pt idx="3">
                  <c:v>Аттестованы на соответствие</c:v>
                </c:pt>
                <c:pt idx="4">
                  <c:v>Первая кв. кат</c:v>
                </c:pt>
                <c:pt idx="5">
                  <c:v>Высшая кв. кат</c:v>
                </c:pt>
                <c:pt idx="6">
                  <c:v>Не подлежат атт</c:v>
                </c:pt>
              </c:strCache>
            </c:strRef>
          </c:cat>
          <c:val>
            <c:numRef>
              <c:f>Лист1!$A$4:$G$4</c:f>
              <c:numCache>
                <c:formatCode>General</c:formatCode>
                <c:ptCount val="7"/>
                <c:pt idx="0">
                  <c:v>0</c:v>
                </c:pt>
                <c:pt idx="1">
                  <c:v>406</c:v>
                </c:pt>
                <c:pt idx="2">
                  <c:v>217</c:v>
                </c:pt>
                <c:pt idx="3">
                  <c:v>168</c:v>
                </c:pt>
                <c:pt idx="4">
                  <c:v>128</c:v>
                </c:pt>
                <c:pt idx="5">
                  <c:v>61</c:v>
                </c:pt>
                <c:pt idx="6">
                  <c:v>49</c:v>
                </c:pt>
              </c:numCache>
            </c:numRef>
          </c:val>
        </c:ser>
        <c:ser>
          <c:idx val="1"/>
          <c:order val="1"/>
          <c:tx>
            <c:v>2021 год</c:v>
          </c:tx>
          <c:spPr>
            <a:solidFill>
              <a:srgbClr val="FFC000"/>
            </a:solidFill>
          </c:spPr>
          <c:invertIfNegative val="0"/>
          <c:cat>
            <c:strRef>
              <c:f>Лист1!$A$3:$G$3</c:f>
              <c:strCache>
                <c:ptCount val="7"/>
                <c:pt idx="0">
                  <c:v>Школы</c:v>
                </c:pt>
                <c:pt idx="1">
                  <c:v>Всего педагогов</c:v>
                </c:pt>
                <c:pt idx="2">
                  <c:v>Нет категории</c:v>
                </c:pt>
                <c:pt idx="3">
                  <c:v>Аттестованы на соответствие</c:v>
                </c:pt>
                <c:pt idx="4">
                  <c:v>Первая кв. кат</c:v>
                </c:pt>
                <c:pt idx="5">
                  <c:v>Высшая кв. кат</c:v>
                </c:pt>
                <c:pt idx="6">
                  <c:v>Не подлежат атт</c:v>
                </c:pt>
              </c:strCache>
            </c:strRef>
          </c:cat>
          <c:val>
            <c:numRef>
              <c:f>Лист1!$A$5:$G$5</c:f>
              <c:numCache>
                <c:formatCode>General</c:formatCode>
                <c:ptCount val="7"/>
                <c:pt idx="0">
                  <c:v>0</c:v>
                </c:pt>
                <c:pt idx="1">
                  <c:v>399</c:v>
                </c:pt>
                <c:pt idx="2">
                  <c:v>199</c:v>
                </c:pt>
                <c:pt idx="3">
                  <c:v>150</c:v>
                </c:pt>
                <c:pt idx="4">
                  <c:v>135</c:v>
                </c:pt>
                <c:pt idx="5">
                  <c:v>65</c:v>
                </c:pt>
                <c:pt idx="6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139200"/>
        <c:axId val="143140736"/>
      </c:barChart>
      <c:catAx>
        <c:axId val="143139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140736"/>
        <c:crosses val="autoZero"/>
        <c:auto val="1"/>
        <c:lblAlgn val="ctr"/>
        <c:lblOffset val="100"/>
        <c:noMultiLvlLbl val="0"/>
      </c:catAx>
      <c:valAx>
        <c:axId val="143140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313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1DB139"/>
            </a:solidFill>
          </c:spPr>
          <c:invertIfNegative val="0"/>
          <c:cat>
            <c:strRef>
              <c:f>Лист1!$B$10:$G$10</c:f>
              <c:strCache>
                <c:ptCount val="6"/>
                <c:pt idx="0">
                  <c:v>Всего педагогов</c:v>
                </c:pt>
                <c:pt idx="1">
                  <c:v>Нет категории</c:v>
                </c:pt>
                <c:pt idx="2">
                  <c:v>Аттестованы на соответствие</c:v>
                </c:pt>
                <c:pt idx="3">
                  <c:v>Первая кв. кат</c:v>
                </c:pt>
                <c:pt idx="4">
                  <c:v>Высшая кв. кат</c:v>
                </c:pt>
                <c:pt idx="5">
                  <c:v>Не подлежат атт</c:v>
                </c:pt>
              </c:strCache>
            </c:strRef>
          </c:cat>
          <c:val>
            <c:numRef>
              <c:f>Лист1!$B$11:$G$11</c:f>
              <c:numCache>
                <c:formatCode>General</c:formatCode>
                <c:ptCount val="6"/>
                <c:pt idx="0">
                  <c:v>89</c:v>
                </c:pt>
                <c:pt idx="1">
                  <c:v>36</c:v>
                </c:pt>
                <c:pt idx="2">
                  <c:v>24</c:v>
                </c:pt>
                <c:pt idx="3">
                  <c:v>39</c:v>
                </c:pt>
                <c:pt idx="4">
                  <c:v>14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2021  год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60000">
                  <a:srgbClr val="00B0F0"/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strRef>
              <c:f>Лист1!$B$10:$G$10</c:f>
              <c:strCache>
                <c:ptCount val="6"/>
                <c:pt idx="0">
                  <c:v>Всего педагогов</c:v>
                </c:pt>
                <c:pt idx="1">
                  <c:v>Нет категории</c:v>
                </c:pt>
                <c:pt idx="2">
                  <c:v>Аттестованы на соответствие</c:v>
                </c:pt>
                <c:pt idx="3">
                  <c:v>Первая кв. кат</c:v>
                </c:pt>
                <c:pt idx="4">
                  <c:v>Высшая кв. кат</c:v>
                </c:pt>
                <c:pt idx="5">
                  <c:v>Не подлежат атт</c:v>
                </c:pt>
              </c:strCache>
            </c:strRef>
          </c:cat>
          <c:val>
            <c:numRef>
              <c:f>Лист1!$B$12:$G$12</c:f>
              <c:numCache>
                <c:formatCode>General</c:formatCode>
                <c:ptCount val="6"/>
                <c:pt idx="0">
                  <c:v>88</c:v>
                </c:pt>
                <c:pt idx="1">
                  <c:v>41</c:v>
                </c:pt>
                <c:pt idx="2">
                  <c:v>36</c:v>
                </c:pt>
                <c:pt idx="3">
                  <c:v>11</c:v>
                </c:pt>
                <c:pt idx="4">
                  <c:v>26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154176"/>
        <c:axId val="143164160"/>
      </c:barChart>
      <c:catAx>
        <c:axId val="143154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164160"/>
        <c:crosses val="autoZero"/>
        <c:auto val="1"/>
        <c:lblAlgn val="ctr"/>
        <c:lblOffset val="100"/>
        <c:noMultiLvlLbl val="0"/>
      </c:catAx>
      <c:valAx>
        <c:axId val="143164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315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</a:rPr>
              <a:t>Квалификация педагогов в ДО Ермаковского района  в 2020 и 2021 годах </a:t>
            </a:r>
            <a:endParaRPr lang="ru-RU" sz="1100">
              <a:effectLst/>
            </a:endParaRPr>
          </a:p>
        </c:rich>
      </c:tx>
      <c:layout>
        <c:manualLayout>
          <c:xMode val="edge"/>
          <c:yMode val="edge"/>
          <c:x val="0.12981255468066491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Лист1!$A$15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cat>
            <c:strRef>
              <c:f>Лист1!$B$14:$G$14</c:f>
              <c:strCache>
                <c:ptCount val="6"/>
                <c:pt idx="0">
                  <c:v>Всего педагогов</c:v>
                </c:pt>
                <c:pt idx="1">
                  <c:v>Нет категории</c:v>
                </c:pt>
                <c:pt idx="2">
                  <c:v>Аттестованы на соответствие</c:v>
                </c:pt>
                <c:pt idx="3">
                  <c:v>Первая кв. кат</c:v>
                </c:pt>
                <c:pt idx="4">
                  <c:v>Высшая кв. кат</c:v>
                </c:pt>
                <c:pt idx="5">
                  <c:v>Не подлежат атт</c:v>
                </c:pt>
              </c:strCache>
            </c:strRef>
          </c:cat>
          <c:val>
            <c:numRef>
              <c:f>Лист1!$B$15:$G$15</c:f>
              <c:numCache>
                <c:formatCode>General</c:formatCode>
                <c:ptCount val="6"/>
                <c:pt idx="0">
                  <c:v>41</c:v>
                </c:pt>
                <c:pt idx="1">
                  <c:v>7</c:v>
                </c:pt>
                <c:pt idx="2">
                  <c:v>4</c:v>
                </c:pt>
                <c:pt idx="3">
                  <c:v>22</c:v>
                </c:pt>
                <c:pt idx="4">
                  <c:v>4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2021 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invertIfNegative val="0"/>
          <c:cat>
            <c:strRef>
              <c:f>Лист1!$B$14:$G$14</c:f>
              <c:strCache>
                <c:ptCount val="6"/>
                <c:pt idx="0">
                  <c:v>Всего педагогов</c:v>
                </c:pt>
                <c:pt idx="1">
                  <c:v>Нет категории</c:v>
                </c:pt>
                <c:pt idx="2">
                  <c:v>Аттестованы на соответствие</c:v>
                </c:pt>
                <c:pt idx="3">
                  <c:v>Первая кв. кат</c:v>
                </c:pt>
                <c:pt idx="4">
                  <c:v>Высшая кв. кат</c:v>
                </c:pt>
                <c:pt idx="5">
                  <c:v>Не подлежат атт</c:v>
                </c:pt>
              </c:strCache>
            </c:strRef>
          </c:cat>
          <c:val>
            <c:numRef>
              <c:f>Лист1!$B$16:$G$16</c:f>
              <c:numCache>
                <c:formatCode>General</c:formatCode>
                <c:ptCount val="6"/>
                <c:pt idx="0">
                  <c:v>44</c:v>
                </c:pt>
                <c:pt idx="1">
                  <c:v>18</c:v>
                </c:pt>
                <c:pt idx="2">
                  <c:v>8</c:v>
                </c:pt>
                <c:pt idx="3">
                  <c:v>20</c:v>
                </c:pt>
                <c:pt idx="4">
                  <c:v>6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173504"/>
        <c:axId val="143175040"/>
      </c:barChart>
      <c:catAx>
        <c:axId val="143173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175040"/>
        <c:crosses val="autoZero"/>
        <c:auto val="1"/>
        <c:lblAlgn val="ctr"/>
        <c:lblOffset val="100"/>
        <c:noMultiLvlLbl val="0"/>
      </c:catAx>
      <c:valAx>
        <c:axId val="1431750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317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0.1577</cdr:x>
      <cdr:y>0</cdr:y>
    </cdr:from>
    <cdr:to>
      <cdr:x>0.96699</cdr:x>
      <cdr:y>0.22527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19150" y="0"/>
          <a:ext cx="4203700" cy="730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Квалификация педагогов в ДОУ Ермаковского района  </a:t>
          </a:r>
          <a:endParaRPr lang="ru-RU">
            <a:effectLst/>
          </a:endParaRPr>
        </a:p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в 2020 и 2021 годах </a:t>
          </a:r>
          <a:endParaRPr lang="ru-RU">
            <a:effectLst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dcterms:created xsi:type="dcterms:W3CDTF">2021-07-10T01:54:00Z</dcterms:created>
  <dcterms:modified xsi:type="dcterms:W3CDTF">2021-07-10T01:54:00Z</dcterms:modified>
</cp:coreProperties>
</file>