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hanging="360"/>
        <w:jc w:val="center"/>
        <w:spacing w:before="30" w:after="30" w:line="240" w:lineRule="auto"/>
        <w:tabs>
          <w:tab w:val="num" w:pos="72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к игре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Толерантный крокодил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24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Symbol" w:hAnsi="Symbol" w:eastAsia="Times New Roman" w:cs="Arial"/>
          <w:color w:val="181818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ознакомить участников с основными чертами понятия толерантности;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увидеть, осознать сущность этих понятий;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дать возможность оценить степень своей толерантности.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Задачи: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57" w:hanging="357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дать определение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толерантности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и донести важность толерантного отношения до подростков;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57" w:hanging="357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познакомить с необходимыми социальными качествами, отражающими понятие толерантность;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numPr>
          <w:ilvl w:val="0"/>
          <w:numId w:val="4"/>
        </w:numPr>
        <w:contextualSpacing/>
        <w:ind w:left="357" w:hanging="357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посредством ролевой игры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актуализировать эти качества в участниках путем освоения предлагаемых понятий через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pStyle w:val="872"/>
        <w:numPr>
          <w:ilvl w:val="0"/>
          <w:numId w:val="7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когнитивный (осознавание, формулирование определения, </w:t>
      </w:r>
      <w:r>
        <w:rPr>
          <w:rFonts w:ascii="Times New Roman" w:hAnsi="Times New Roman"/>
          <w:color w:val="1f1f1f"/>
          <w:sz w:val="28"/>
          <w:szCs w:val="28"/>
        </w:rPr>
        <w:t xml:space="preserve">подключения абстрактного мышления, вербализация</w:t>
      </w:r>
      <w:r>
        <w:rPr>
          <w:rFonts w:ascii="Times New Roman" w:hAnsi="Times New Roman"/>
          <w:color w:val="1f1f1f"/>
          <w:sz w:val="28"/>
          <w:szCs w:val="28"/>
        </w:rPr>
        <w:t xml:space="preserve">)</w:t>
      </w:r>
      <w:r>
        <w:rPr>
          <w:rFonts w:ascii="Times New Roman" w:hAnsi="Times New Roman"/>
          <w:color w:val="1f1f1f"/>
          <w:sz w:val="28"/>
          <w:szCs w:val="28"/>
        </w:rPr>
        <w:t xml:space="preserve">, 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7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эмоциональный (в игре используются </w:t>
      </w:r>
      <w:r>
        <w:rPr>
          <w:rFonts w:ascii="Times New Roman" w:hAnsi="Times New Roman"/>
          <w:color w:val="1f1f1f"/>
          <w:sz w:val="28"/>
          <w:szCs w:val="28"/>
        </w:rPr>
        <w:t xml:space="preserve">понятия,</w:t>
      </w:r>
      <w:r>
        <w:rPr>
          <w:rFonts w:ascii="Times New Roman" w:hAnsi="Times New Roman"/>
          <w:color w:val="1f1f1f"/>
          <w:sz w:val="28"/>
          <w:szCs w:val="28"/>
        </w:rPr>
        <w:t xml:space="preserve"> напрямую связанные с эмоциональной сферой, отношением к себе и миру),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7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телесный (демонстрация телом, мимикой, проживание ощущений при ассоциации</w:t>
      </w:r>
      <w:r>
        <w:rPr>
          <w:rFonts w:ascii="Times New Roman" w:hAnsi="Times New Roman"/>
          <w:color w:val="1f1f1f"/>
          <w:sz w:val="28"/>
          <w:szCs w:val="28"/>
        </w:rPr>
        <w:t xml:space="preserve"> с понятием)</w:t>
      </w:r>
      <w:r>
        <w:rPr>
          <w:rFonts w:ascii="Times New Roman" w:hAnsi="Times New Roman"/>
          <w:color w:val="1f1f1f"/>
          <w:sz w:val="28"/>
          <w:szCs w:val="28"/>
        </w:rPr>
        <w:t xml:space="preserve">,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7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поведенческий (выбор поведенческого проявления, сценарное проигрывание последовательности действий)</w:t>
      </w:r>
      <w:r>
        <w:rPr>
          <w:rFonts w:ascii="Times New Roman" w:hAnsi="Times New Roman"/>
          <w:color w:val="1f1f1f"/>
          <w:sz w:val="28"/>
          <w:szCs w:val="28"/>
        </w:rPr>
        <w:t xml:space="preserve">;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numPr>
          <w:ilvl w:val="0"/>
          <w:numId w:val="4"/>
        </w:numPr>
        <w:contextualSpacing/>
        <w:ind w:left="357" w:hanging="357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расширить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как понятийный аппарат, так и поведенческий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репертуар участников игры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, способствующий развитию толерантного поведения и отношения к миру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/>
      <w:bookmarkStart w:id="0" w:name="_Hlk188001103"/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Целевая аудитория игры: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подростки от 12 лет и старше.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Группа до 20 человек.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/>
      <w:bookmarkStart w:id="1" w:name="_Hlk187754226"/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Требования к компетенции ведущего: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игру проводит педагог-психолог, психолог, педагог, прошедший повышение квалификации по направлению подготовки «игровые технологии в образовании».</w:t>
      </w:r>
      <w:bookmarkEnd w:id="1"/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Этапы игры: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Знакомство ведущего с группой, установление правил взаимодействия во время игры.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Разделение участников на подгруппы.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Знакомство с понятием </w:t>
      </w:r>
      <w:r>
        <w:rPr>
          <w:rFonts w:ascii="Times New Roman" w:hAnsi="Times New Roman"/>
          <w:color w:val="1f1f1f"/>
          <w:sz w:val="28"/>
          <w:szCs w:val="28"/>
        </w:rPr>
        <w:t xml:space="preserve">толерантности</w:t>
      </w:r>
      <w:r>
        <w:rPr>
          <w:rFonts w:ascii="Times New Roman" w:hAnsi="Times New Roman"/>
          <w:color w:val="1f1f1f"/>
          <w:sz w:val="28"/>
          <w:szCs w:val="28"/>
        </w:rPr>
        <w:t xml:space="preserve"> и теоретический блок</w:t>
      </w:r>
      <w:r>
        <w:rPr>
          <w:rFonts w:ascii="Times New Roman" w:hAnsi="Times New Roman"/>
          <w:color w:val="1f1f1f"/>
          <w:sz w:val="28"/>
          <w:szCs w:val="28"/>
        </w:rPr>
        <w:t xml:space="preserve"> с интерактивным обсуждением понятий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Начало игры</w:t>
      </w:r>
      <w:r>
        <w:rPr>
          <w:rFonts w:ascii="Times New Roman" w:hAnsi="Times New Roman"/>
          <w:color w:val="1f1f1f"/>
          <w:sz w:val="28"/>
          <w:szCs w:val="28"/>
        </w:rPr>
        <w:t xml:space="preserve">, получение </w:t>
      </w:r>
      <w:r>
        <w:rPr>
          <w:rFonts w:ascii="Times New Roman" w:hAnsi="Times New Roman"/>
          <w:color w:val="1f1f1f"/>
          <w:sz w:val="28"/>
          <w:szCs w:val="28"/>
        </w:rPr>
        <w:t xml:space="preserve">и разыгрывание ситуаций</w:t>
      </w:r>
      <w:r>
        <w:rPr>
          <w:rFonts w:ascii="Times New Roman" w:hAnsi="Times New Roman"/>
          <w:color w:val="1f1f1f"/>
          <w:sz w:val="28"/>
          <w:szCs w:val="28"/>
        </w:rPr>
        <w:t xml:space="preserve"> (этап 1 – вербальный и этап 2 – невербальный)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Подсчет баллов и награждение победителей.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5"/>
        </w:numPr>
        <w:contextualSpacing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Завершение игры, общее подведение итогов группы</w:t>
      </w:r>
      <w:r>
        <w:rPr>
          <w:rFonts w:ascii="Times New Roman" w:hAnsi="Times New Roman"/>
          <w:color w:val="1f1f1f"/>
          <w:sz w:val="28"/>
          <w:szCs w:val="28"/>
        </w:rPr>
        <w:t xml:space="preserve"> и рефлексия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Время проведения игры: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час.</w:t>
      </w:r>
      <w:bookmarkEnd w:id="0"/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Теоретические основы к созданию игры: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Толерантность является важным аспектом межличностных и межкультурных отношений, отражающим готовность принимать и уважать различия между людьми. Это касается расы, этнической принадлежности, религии, пола, возраста и других характеристик.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Неприятие или предвзятое отношение к другому человеку основывается на стереотипах и предрассудках, что может приводить к конфликтам. Игра помогает осознать эти различия и развить уважение к индивидуальности каждого.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В современном мире, где возникают различные конфликты и противоречия в социальных, политических и культурных сферах, толерантность становится необходимой ценностью для мирного сосуществования.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pStyle w:val="873"/>
        <w:ind w:firstLine="709"/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Рассмотрение понятия толерантность в социальном и психологическом контексте обусловлено как необходимостью формировать навык </w:t>
      </w:r>
      <w:r>
        <w:rPr>
          <w:color w:val="222222"/>
          <w:sz w:val="28"/>
          <w:szCs w:val="28"/>
        </w:rPr>
        <w:t xml:space="preserve">спокойного отношения к тому,</w:t>
      </w:r>
      <w:r>
        <w:rPr>
          <w:color w:val="222222"/>
          <w:sz w:val="28"/>
          <w:szCs w:val="28"/>
        </w:rPr>
        <w:t xml:space="preserve"> как живут окружающие, при условии, что окружающие не избирают деструктивный стиль жизни (насилие, унижение, разжигание конфликтов на почве различий и т.д.), так и необходимостью развития терпимого, уважительного поведения и соответствующих личных качеств.</w:t>
      </w:r>
      <w:r>
        <w:rPr>
          <w:color w:val="222222"/>
          <w:sz w:val="28"/>
          <w:szCs w:val="28"/>
        </w:rPr>
        <w:t xml:space="preserve"> Кроме того, толерантность является вектором культурной направленности, способом выстраивания межличностных и межгрупповых отношений.</w:t>
      </w:r>
      <w:r>
        <w:rPr>
          <w:color w:val="222222"/>
          <w:sz w:val="28"/>
          <w:szCs w:val="28"/>
        </w:rPr>
      </w:r>
    </w:p>
    <w:p>
      <w:pPr>
        <w:pStyle w:val="873"/>
        <w:ind w:firstLine="709"/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Понятие «толерантность» активно используется в психологии развития личности, </w:t>
      </w:r>
      <w:r>
        <w:rPr>
          <w:color w:val="222222"/>
          <w:sz w:val="28"/>
          <w:szCs w:val="28"/>
        </w:rPr>
        <w:t xml:space="preserve">ряд авторов рассматривает его «</w:t>
      </w:r>
      <w:r>
        <w:rPr>
          <w:color w:val="222222"/>
          <w:sz w:val="28"/>
          <w:szCs w:val="28"/>
        </w:rPr>
        <w:t xml:space="preserve">как личностное образование (О.А. Овсянникова, A.M. Байбаков, Г.У. Солдатова, Д.В. Зиновьев, Е.Г. Виноградова, О.Б. Скрябина), включающее в себя следующие свойства: адекватную самооценку; знание себя, признание других; ответственность за свои поступки; ч</w:t>
      </w:r>
      <w:r>
        <w:rPr>
          <w:color w:val="222222"/>
          <w:sz w:val="28"/>
          <w:szCs w:val="28"/>
        </w:rPr>
        <w:t xml:space="preserve">увство юмора; расположенность к другим; самообладание; терпение; способность к рефлексии; отсутствие тревожности; высокий уровень общительности; умение выражать свое несогласие, аргументировать отказ от сотрудничества; отсутствие стереотипов, предрассудков</w:t>
      </w:r>
      <w:r>
        <w:rPr>
          <w:color w:val="222222"/>
          <w:sz w:val="28"/>
          <w:szCs w:val="28"/>
        </w:rPr>
        <w:t xml:space="preserve">» </w:t>
      </w:r>
      <w:r>
        <w:rPr>
          <w:color w:val="222222"/>
          <w:sz w:val="28"/>
          <w:szCs w:val="28"/>
        </w:rPr>
        <w:t xml:space="preserve">[</w:t>
      </w:r>
      <w:r>
        <w:rPr>
          <w:color w:val="222222"/>
          <w:sz w:val="28"/>
          <w:szCs w:val="28"/>
        </w:rPr>
        <w:t xml:space="preserve">1</w:t>
      </w:r>
      <w:r>
        <w:rPr>
          <w:color w:val="222222"/>
          <w:sz w:val="28"/>
          <w:szCs w:val="28"/>
        </w:rPr>
        <w:t xml:space="preserve">].</w:t>
      </w:r>
      <w:r>
        <w:rPr>
          <w:color w:val="222222"/>
          <w:sz w:val="28"/>
          <w:szCs w:val="28"/>
        </w:rPr>
      </w:r>
    </w:p>
    <w:p>
      <w:pPr>
        <w:pStyle w:val="873"/>
        <w:ind w:firstLine="709"/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исследованиях А.Г. Асмолова, P.P. Валитовой, В.А. Лекторского, А.П. </w:t>
      </w:r>
      <w:r>
        <w:rPr>
          <w:color w:val="222222"/>
          <w:sz w:val="28"/>
          <w:szCs w:val="28"/>
        </w:rPr>
        <w:t xml:space="preserve">Садохина</w:t>
      </w:r>
      <w:r>
        <w:rPr>
          <w:color w:val="222222"/>
          <w:sz w:val="28"/>
          <w:szCs w:val="28"/>
        </w:rPr>
        <w:t xml:space="preserve">, Г.В. </w:t>
      </w:r>
      <w:r>
        <w:rPr>
          <w:color w:val="222222"/>
          <w:sz w:val="28"/>
          <w:szCs w:val="28"/>
        </w:rPr>
        <w:t xml:space="preserve">Безюлевой</w:t>
      </w:r>
      <w:r>
        <w:rPr>
          <w:color w:val="222222"/>
          <w:sz w:val="28"/>
          <w:szCs w:val="28"/>
        </w:rPr>
        <w:t xml:space="preserve">, А.А. Глебова, М.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Уолцера</w:t>
      </w:r>
      <w:r>
        <w:rPr>
          <w:color w:val="222222"/>
          <w:sz w:val="28"/>
          <w:szCs w:val="28"/>
        </w:rPr>
        <w:t xml:space="preserve"> толерантность характеризуется комплексом взаимосвязанных критериев (когнитивный, эмоциональный и практически-действенный) [</w:t>
      </w:r>
      <w:r>
        <w:rPr>
          <w:color w:val="222222"/>
          <w:sz w:val="28"/>
          <w:szCs w:val="28"/>
        </w:rPr>
        <w:t xml:space="preserve">3</w:t>
      </w:r>
      <w:r>
        <w:rPr>
          <w:color w:val="222222"/>
          <w:sz w:val="28"/>
          <w:szCs w:val="28"/>
        </w:rPr>
        <w:t xml:space="preserve">]:</w:t>
      </w:r>
      <w:r>
        <w:rPr>
          <w:color w:val="222222"/>
          <w:sz w:val="28"/>
          <w:szCs w:val="28"/>
        </w:rPr>
      </w:r>
    </w:p>
    <w:p>
      <w:pPr>
        <w:pStyle w:val="873"/>
        <w:numPr>
          <w:ilvl w:val="0"/>
          <w:numId w:val="15"/>
        </w:numPr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когнитивный критерий – базовые стереотипы, широкая </w:t>
      </w:r>
      <w:r>
        <w:rPr>
          <w:color w:val="222222"/>
          <w:sz w:val="28"/>
          <w:szCs w:val="28"/>
        </w:rPr>
        <w:t xml:space="preserve">периферия; знания</w:t>
      </w:r>
      <w:r>
        <w:rPr>
          <w:color w:val="222222"/>
          <w:sz w:val="28"/>
          <w:szCs w:val="28"/>
        </w:rPr>
        <w:t xml:space="preserve"> о феномене толерантности; способность к рефлексии, внутреннему диалогу, осмыслению жизненных ценностей; специфика языка и речи</w:t>
      </w:r>
      <w:r>
        <w:rPr>
          <w:color w:val="222222"/>
          <w:sz w:val="28"/>
          <w:szCs w:val="28"/>
        </w:rPr>
      </w:r>
    </w:p>
    <w:p>
      <w:pPr>
        <w:pStyle w:val="873"/>
        <w:numPr>
          <w:ilvl w:val="0"/>
          <w:numId w:val="15"/>
        </w:numPr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эмоциональный критерий – эмоциональная отзывчивость (по </w:t>
      </w:r>
      <w:r>
        <w:rPr>
          <w:color w:val="222222"/>
          <w:sz w:val="28"/>
          <w:szCs w:val="28"/>
        </w:rPr>
        <w:t xml:space="preserve">К.Роджерсу</w:t>
      </w:r>
      <w:r>
        <w:rPr>
          <w:color w:val="222222"/>
          <w:sz w:val="28"/>
          <w:szCs w:val="28"/>
        </w:rPr>
        <w:t xml:space="preserve">);</w:t>
      </w:r>
      <w:r>
        <w:rPr>
          <w:color w:val="222222"/>
          <w:sz w:val="28"/>
          <w:szCs w:val="28"/>
        </w:rPr>
      </w:r>
    </w:p>
    <w:p>
      <w:pPr>
        <w:pStyle w:val="873"/>
        <w:numPr>
          <w:ilvl w:val="0"/>
          <w:numId w:val="15"/>
        </w:numPr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действенно-практический критерий – стиль взаимодействия с людьми, способность человека устанавливать позитивные </w:t>
      </w:r>
      <w:r>
        <w:rPr>
          <w:color w:val="222222"/>
          <w:sz w:val="28"/>
          <w:szCs w:val="28"/>
        </w:rPr>
        <w:t xml:space="preserve">отношения, стремление к совместной конструктивной деятельности [</w:t>
      </w:r>
      <w:r>
        <w:rPr>
          <w:color w:val="222222"/>
          <w:sz w:val="28"/>
          <w:szCs w:val="28"/>
        </w:rPr>
        <w:t xml:space="preserve">3</w:t>
      </w:r>
      <w:r>
        <w:rPr>
          <w:color w:val="222222"/>
          <w:sz w:val="28"/>
          <w:szCs w:val="28"/>
        </w:rPr>
        <w:t xml:space="preserve">].</w:t>
      </w:r>
      <w:r>
        <w:rPr>
          <w:color w:val="222222"/>
          <w:sz w:val="28"/>
          <w:szCs w:val="28"/>
        </w:rPr>
      </w:r>
    </w:p>
    <w:p>
      <w:pPr>
        <w:pStyle w:val="873"/>
        <w:ind w:firstLine="709"/>
        <w:jc w:val="both"/>
        <w:spacing w:before="120" w:beforeAutospacing="0" w:after="120" w:afterAutospacing="0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того, ч</w:t>
      </w:r>
      <w:r>
        <w:rPr>
          <w:color w:val="222222"/>
          <w:sz w:val="28"/>
          <w:szCs w:val="28"/>
        </w:rPr>
        <w:t xml:space="preserve">тобы подать тему толерантности интерактивно и не останавливаясь лишь на когнитивном компоненте, взята механика классической игры «Крокодил». Ниже представлены компоненты данной механики, отвечающей целям и задачам разработанной игры «Толерантный крокодил».</w:t>
      </w:r>
      <w:r>
        <w:rPr>
          <w:color w:val="222222"/>
          <w:sz w:val="28"/>
          <w:szCs w:val="28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Компонентная о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снова игры "Крокодил":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Коммуникация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Игра служит хорошим примером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невербальной коммуникации, где участники учатся понимать друг друга без использования слов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, так и вербальной, призванной расширять способы объяснения, следовательно, находить аналогии и искать способы донести информацию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. Это помогает развивать навыки общения, интуиции и креативности.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Когнитивные процессы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Участники играют как в роли "изображающего", так и в роли "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разг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ад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ыва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ющего", что развивает когнитивные способности, такие как внимание, память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, абстрактное и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ассоциативное мышление.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Групповая динамика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Игра способствует сплочению команды и развитию навыков работы в группе, поскольку участники должны взаимодействовать и поддерживать друг друга.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Соревновательный элемент служит драйвером процесса, включение в игру помогает проявляться каждому участнику.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Эмоциональный интеллект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Участники учатся читать эмоции других, что развивает их эмоциональный интеллект и способность к эмпатии.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outlineLvl w:val="3"/>
      </w:pPr>
      <w:r/>
      <w:bookmarkStart w:id="2" w:name="_Hlk187682668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Перед проведением игры и после рекомендуется провести диагностику </w:t>
      </w:r>
      <w:bookmarkEnd w:id="2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уровня толерантности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подростков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используя следующие методики: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pStyle w:val="872"/>
        <w:numPr>
          <w:ilvl w:val="0"/>
          <w:numId w:val="16"/>
        </w:numPr>
        <w:contextualSpacing/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  <w:outlineLvl w:val="3"/>
      </w:pPr>
      <w:r>
        <w:rPr>
          <w:rFonts w:ascii="Times New Roman" w:hAnsi="Times New Roman"/>
          <w:color w:val="1f1f1f"/>
          <w:sz w:val="28"/>
          <w:szCs w:val="28"/>
        </w:rPr>
        <w:t xml:space="preserve">Экспресс-опросник «Индекс толерантности» (Г.У. </w:t>
      </w:r>
      <w:r>
        <w:rPr>
          <w:rFonts w:ascii="Times New Roman" w:hAnsi="Times New Roman"/>
          <w:color w:val="1f1f1f"/>
          <w:sz w:val="28"/>
          <w:szCs w:val="28"/>
        </w:rPr>
        <w:t xml:space="preserve">Солдатова, </w:t>
      </w:r>
      <w:r>
        <w:rPr>
          <w:rFonts w:ascii="Times New Roman" w:hAnsi="Times New Roman"/>
          <w:color w:val="1f1f1f"/>
          <w:sz w:val="28"/>
          <w:szCs w:val="28"/>
        </w:rPr>
        <w:t xml:space="preserve">О.А. Кравцова, О.Е. </w:t>
      </w:r>
      <w:r>
        <w:rPr>
          <w:rFonts w:ascii="Times New Roman" w:hAnsi="Times New Roman"/>
          <w:color w:val="1f1f1f"/>
          <w:sz w:val="28"/>
          <w:szCs w:val="28"/>
        </w:rPr>
        <w:t xml:space="preserve">Хухлаев</w:t>
      </w:r>
      <w:r>
        <w:rPr>
          <w:rFonts w:ascii="Times New Roman" w:hAnsi="Times New Roman"/>
          <w:color w:val="1f1f1f"/>
          <w:sz w:val="28"/>
          <w:szCs w:val="28"/>
        </w:rPr>
        <w:t xml:space="preserve">, Л.А. </w:t>
      </w:r>
      <w:r>
        <w:rPr>
          <w:rFonts w:ascii="Times New Roman" w:hAnsi="Times New Roman"/>
          <w:color w:val="1f1f1f"/>
          <w:sz w:val="28"/>
          <w:szCs w:val="28"/>
        </w:rPr>
        <w:t xml:space="preserve">Шайгерова</w:t>
      </w:r>
      <w:r>
        <w:rPr>
          <w:rFonts w:ascii="Times New Roman" w:hAnsi="Times New Roman"/>
          <w:color w:val="1f1f1f"/>
          <w:sz w:val="28"/>
          <w:szCs w:val="28"/>
        </w:rPr>
        <w:t xml:space="preserve">). 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6"/>
        </w:numPr>
        <w:contextualSpacing/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  <w:outlineLvl w:val="3"/>
      </w:pPr>
      <w:r>
        <w:rPr>
          <w:rFonts w:ascii="Times New Roman" w:hAnsi="Times New Roman"/>
          <w:color w:val="1f1f1f"/>
          <w:sz w:val="28"/>
          <w:szCs w:val="28"/>
        </w:rPr>
        <w:t xml:space="preserve">Диагностика принятия других по шкале </w:t>
      </w:r>
      <w:r>
        <w:rPr>
          <w:rFonts w:ascii="Times New Roman" w:hAnsi="Times New Roman"/>
          <w:color w:val="1f1f1f"/>
          <w:sz w:val="28"/>
          <w:szCs w:val="28"/>
        </w:rPr>
        <w:t xml:space="preserve">Фейя</w:t>
      </w:r>
      <w:r>
        <w:rPr>
          <w:rFonts w:ascii="Times New Roman" w:hAnsi="Times New Roman"/>
          <w:color w:val="1f1f1f"/>
          <w:sz w:val="28"/>
          <w:szCs w:val="28"/>
        </w:rPr>
        <w:t xml:space="preserve">. 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6"/>
        </w:numPr>
        <w:contextualSpacing/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  <w:outlineLvl w:val="3"/>
      </w:pPr>
      <w:r>
        <w:rPr>
          <w:rFonts w:ascii="Times New Roman" w:hAnsi="Times New Roman"/>
          <w:color w:val="1f1f1f"/>
          <w:sz w:val="28"/>
          <w:szCs w:val="28"/>
        </w:rPr>
        <w:t xml:space="preserve">Опросник коммуникативной толерантности В.В. Бойко.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6"/>
        </w:numPr>
        <w:contextualSpacing/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  <w:outlineLvl w:val="3"/>
      </w:pPr>
      <w:r>
        <w:rPr>
          <w:rFonts w:ascii="Times New Roman" w:hAnsi="Times New Roman"/>
          <w:color w:val="1f1f1f"/>
          <w:sz w:val="28"/>
          <w:szCs w:val="28"/>
        </w:rPr>
        <w:t xml:space="preserve">Опросник для измерения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</w:rPr>
        <w:t xml:space="preserve">общих социальных установок у детей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</w:rPr>
        <w:t xml:space="preserve">(</w:t>
      </w:r>
      <w:r>
        <w:rPr>
          <w:rFonts w:ascii="Times New Roman" w:hAnsi="Times New Roman"/>
          <w:color w:val="1f1f1f"/>
          <w:sz w:val="28"/>
          <w:szCs w:val="28"/>
        </w:rPr>
        <w:t xml:space="preserve">Э.Френкель-Брунсвик</w:t>
      </w:r>
      <w:r>
        <w:rPr>
          <w:rFonts w:ascii="Times New Roman" w:hAnsi="Times New Roman"/>
          <w:color w:val="1f1f1f"/>
          <w:sz w:val="28"/>
          <w:szCs w:val="28"/>
        </w:rPr>
        <w:t xml:space="preserve">)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6"/>
        </w:numPr>
        <w:contextualSpacing/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  <w:outlineLvl w:val="3"/>
      </w:pPr>
      <w:r>
        <w:rPr>
          <w:rFonts w:ascii="Times New Roman" w:hAnsi="Times New Roman"/>
          <w:color w:val="1f1f1f"/>
          <w:sz w:val="28"/>
          <w:szCs w:val="28"/>
        </w:rPr>
        <w:t xml:space="preserve">Шкала социальной дистанции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</w:rPr>
        <w:t xml:space="preserve">(</w:t>
      </w:r>
      <w:r>
        <w:rPr>
          <w:rFonts w:ascii="Times New Roman" w:hAnsi="Times New Roman"/>
          <w:color w:val="1f1f1f"/>
          <w:sz w:val="28"/>
          <w:szCs w:val="28"/>
        </w:rPr>
        <w:t xml:space="preserve">Э.Богардус</w:t>
      </w:r>
      <w:r>
        <w:rPr>
          <w:rFonts w:ascii="Times New Roman" w:hAnsi="Times New Roman"/>
          <w:color w:val="1f1f1f"/>
          <w:sz w:val="28"/>
          <w:szCs w:val="28"/>
        </w:rPr>
        <w:t xml:space="preserve">)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Данные методики может провести накануне игры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(и после для фиксации изменений)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психолог учреждения, педагог-психолог, классный руководитель при содействии школьного психолога.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Разработчики игры также предлагают после проведения игры написать участникам игры эссе, выбрав одно из слов из игры, раскры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ть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свое отношение к качеству и порассуждать о том, как его можно развивать и как оно будет укреплять толерантное, уважительное отношение к окружающим.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  <w:t xml:space="preserve">Данное эссе анализирует затем психолог (педагог-психолог), сопоставляя с данными входной и выходной диагностик. 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lang w:eastAsia="ru-RU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Рекомендации для 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проводящего игру специалиста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/>
      <w:bookmarkStart w:id="3" w:name="_Hlk188001448"/>
      <w:r>
        <w:rPr>
          <w:rFonts w:ascii="Times New Roman" w:hAnsi="Times New Roman"/>
          <w:color w:val="1f1f1f"/>
          <w:sz w:val="28"/>
          <w:szCs w:val="28"/>
        </w:rPr>
        <w:t xml:space="preserve">Будьте открыты и уважительны к мнениям участников.</w:t>
      </w:r>
      <w:r>
        <w:rPr>
          <w:rFonts w:ascii="Times New Roman" w:hAnsi="Times New Roman"/>
          <w:color w:val="1f1f1f"/>
          <w:sz w:val="28"/>
          <w:szCs w:val="28"/>
        </w:rPr>
        <w:t xml:space="preserve"> Демонстрируйте отношения к ошибкам и заблуждениям как к нормальным и порой неизбежным явлениям.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Постарайтесь создать атмосферу доверия, чтобы каждый участник чувствовал себя свободно в выражении своих мыслей.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Управляйте временем, чтобы все части игры были выполнены. Убедитесь, что каждый участник имеет возможность высказаться.</w:t>
      </w:r>
      <w:bookmarkEnd w:id="3"/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Будьте готовы менять стиль своего разъяснения, если материал вызывает сложности, проявляйте гибкость.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Обсудите результаты работы групп, акцентируя внимание на различиях в восприятии и подходах к решению проблем.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3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Попросите участников написать </w:t>
      </w:r>
      <w:r>
        <w:rPr>
          <w:rFonts w:ascii="Times New Roman" w:hAnsi="Times New Roman"/>
          <w:color w:val="1f1f1f"/>
          <w:sz w:val="28"/>
          <w:szCs w:val="28"/>
        </w:rPr>
        <w:t xml:space="preserve">или озвучить </w:t>
      </w:r>
      <w:r>
        <w:rPr>
          <w:rFonts w:ascii="Times New Roman" w:hAnsi="Times New Roman"/>
          <w:color w:val="1f1f1f"/>
          <w:sz w:val="28"/>
          <w:szCs w:val="28"/>
        </w:rPr>
        <w:t xml:space="preserve">одно действие, которое они могут сделать для повышения своей толерантности.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ind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1f1f1f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Ищенко Ю.А. Толерантность как философско-мировоззренческая проблема // Философская и социологическая мысль.1990. № 4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  <w:lang w:val="en-US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Кошкина М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  <w:t xml:space="preserve"> В</w:t>
      </w:r>
      <w:r>
        <w:rPr>
          <w:rFonts w:ascii="Times New Roman" w:hAnsi="Times New Roman"/>
          <w:color w:val="1f1f1f"/>
          <w:sz w:val="28"/>
          <w:szCs w:val="28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</w:rPr>
        <w:t xml:space="preserve"> Способы диагностики уровня толерантности в подростковом возрасте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</w:rPr>
        <w:t xml:space="preserve">// </w:t>
      </w:r>
      <w:r>
        <w:rPr>
          <w:rFonts w:ascii="Times New Roman" w:hAnsi="Times New Roman"/>
          <w:color w:val="1f1f1f"/>
          <w:sz w:val="28"/>
          <w:szCs w:val="28"/>
        </w:rPr>
        <w:t xml:space="preserve">Magister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</w:rPr>
        <w:t xml:space="preserve">Dixit</w:t>
      </w:r>
      <w:r>
        <w:rPr>
          <w:rFonts w:ascii="Times New Roman" w:hAnsi="Times New Roman"/>
          <w:color w:val="1f1f1f"/>
          <w:sz w:val="28"/>
          <w:szCs w:val="28"/>
        </w:rPr>
        <w:t xml:space="preserve">. </w:t>
      </w:r>
      <w:r>
        <w:rPr>
          <w:rFonts w:ascii="Times New Roman" w:hAnsi="Times New Roman"/>
          <w:color w:val="1f1f1f"/>
          <w:sz w:val="28"/>
          <w:szCs w:val="28"/>
          <w:lang w:val="en-US"/>
        </w:rPr>
        <w:t xml:space="preserve">2013. </w:t>
      </w:r>
      <w:r>
        <w:rPr>
          <w:rFonts w:ascii="Times New Roman" w:hAnsi="Times New Roman"/>
          <w:color w:val="1f1f1f"/>
          <w:sz w:val="28"/>
          <w:szCs w:val="28"/>
          <w:lang w:val="en-US"/>
        </w:rPr>
        <w:t xml:space="preserve">№4. URL: </w:t>
      </w:r>
      <w:hyperlink r:id="rId9" w:tooltip="https://cyberleninka.ru/article/n/sposoby-diagnostiki-urovnya-tolerantnosti-v-podrostkovom-vozraste" w:history="1">
        <w:r>
          <w:rPr>
            <w:rStyle w:val="850"/>
            <w:rFonts w:ascii="Times New Roman" w:hAnsi="Times New Roman"/>
            <w:sz w:val="28"/>
            <w:szCs w:val="28"/>
            <w:lang w:val="en-US"/>
          </w:rPr>
          <w:t xml:space="preserve">https://cyberleninka.ru/article/n/sposoby-diagnostiki-urovnya-tolerantnosti-v-podrostkovom-vozraste</w:t>
        </w:r>
      </w:hyperlink>
      <w:r>
        <w:rPr>
          <w:rFonts w:ascii="Times New Roman" w:hAnsi="Times New Roman"/>
          <w:color w:val="1f1f1f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color w:val="1f1f1f"/>
          <w:sz w:val="28"/>
          <w:szCs w:val="28"/>
          <w:lang w:val="en-US"/>
        </w:rPr>
      </w:r>
    </w:p>
    <w:p>
      <w:pPr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Можейкина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Л.Б. Развитие толерантности у подростков в процессе обучения русскому языку: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Автореф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дис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 … канд. психол. наук.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Новосибирск 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2006.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pStyle w:val="872"/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Портал психологических изданий PsyJournals.ru — </w:t>
      </w:r>
      <w:hyperlink r:id="rId10" w:tooltip="https://psyjournals.ru/journals/psyedu/archive/2012_n2/53615" w:history="1">
        <w:r>
          <w:rPr>
            <w:rStyle w:val="850"/>
            <w:rFonts w:ascii="Times New Roman" w:hAnsi="Times New Roman" w:eastAsia="Arial"/>
            <w:color w:val="4e6aa9"/>
            <w:sz w:val="28"/>
            <w:szCs w:val="28"/>
            <w:shd w:val="clear" w:color="auto" w:fill="ffffff"/>
          </w:rPr>
          <w:t xml:space="preserve">https://psyjournals.ru/journals/psyedu/archive/2012_n2/53615</w:t>
        </w:r>
      </w:hyperlink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[Системный анализ подходов к понятию «толерантность» // Психолого-педагогические исследования — 2012. Том 4. № 2]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Смирнова, Е. О.  Психология и педагогика </w:t>
      </w:r>
      <w:r>
        <w:rPr>
          <w:rFonts w:ascii="Times New Roman" w:hAnsi="Times New Roman"/>
          <w:color w:val="1f1f1f"/>
          <w:sz w:val="28"/>
          <w:szCs w:val="28"/>
        </w:rPr>
        <w:t xml:space="preserve">игры :</w:t>
      </w:r>
      <w:r>
        <w:rPr>
          <w:rFonts w:ascii="Times New Roman" w:hAnsi="Times New Roman"/>
          <w:color w:val="1f1f1f"/>
          <w:sz w:val="28"/>
          <w:szCs w:val="28"/>
        </w:rPr>
        <w:t xml:space="preserve"> учебное пособие для среднего профессионального образования / Е. О. Смирнова, И. А. Рябкова. — </w:t>
      </w:r>
      <w:r>
        <w:rPr>
          <w:rFonts w:ascii="Times New Roman" w:hAnsi="Times New Roman"/>
          <w:color w:val="1f1f1f"/>
          <w:sz w:val="28"/>
          <w:szCs w:val="28"/>
        </w:rPr>
        <w:t xml:space="preserve">Москва :</w:t>
      </w:r>
      <w:r>
        <w:rPr>
          <w:rFonts w:ascii="Times New Roman" w:hAnsi="Times New Roman"/>
          <w:color w:val="1f1f1f"/>
          <w:sz w:val="28"/>
          <w:szCs w:val="28"/>
        </w:rPr>
        <w:t xml:space="preserve"> Издательство </w:t>
      </w:r>
      <w:r>
        <w:rPr>
          <w:rFonts w:ascii="Times New Roman" w:hAnsi="Times New Roman"/>
          <w:color w:val="1f1f1f"/>
          <w:sz w:val="28"/>
          <w:szCs w:val="28"/>
        </w:rPr>
        <w:t xml:space="preserve">Юрайт</w:t>
      </w:r>
      <w:r>
        <w:rPr>
          <w:rFonts w:ascii="Times New Roman" w:hAnsi="Times New Roman"/>
          <w:color w:val="1f1f1f"/>
          <w:sz w:val="28"/>
          <w:szCs w:val="28"/>
        </w:rPr>
        <w:t xml:space="preserve">, 2024. — 223 с.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pStyle w:val="872"/>
        <w:numPr>
          <w:ilvl w:val="0"/>
          <w:numId w:val="17"/>
        </w:numPr>
        <w:ind w:left="0" w:firstLine="709"/>
        <w:jc w:val="both"/>
        <w:spacing w:before="120" w:after="120" w:line="240" w:lineRule="auto"/>
        <w:shd w:val="clear" w:color="auto" w:fill="ffffff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Эльконин Д. Б.   Психология игры. — 2-е изд. — М.: </w:t>
      </w:r>
      <w:r>
        <w:rPr>
          <w:rFonts w:ascii="Times New Roman" w:hAnsi="Times New Roman"/>
          <w:color w:val="1f1f1f"/>
          <w:sz w:val="28"/>
          <w:szCs w:val="28"/>
        </w:rPr>
        <w:t xml:space="preserve">Гуманит</w:t>
      </w:r>
      <w:r>
        <w:rPr>
          <w:rFonts w:ascii="Times New Roman" w:hAnsi="Times New Roman"/>
          <w:color w:val="1f1f1f"/>
          <w:sz w:val="28"/>
          <w:szCs w:val="28"/>
        </w:rPr>
        <w:t xml:space="preserve">. изд. центр ВЛАДОС, 1999. — 360 с.</w:t>
      </w:r>
      <w:r>
        <w:rPr>
          <w:rFonts w:ascii="Times New Roman" w:hAnsi="Times New Roman"/>
          <w:color w:val="1f1f1f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333333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2222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4"/>
  </w:num>
  <w:num w:numId="7">
    <w:abstractNumId w:val="13"/>
  </w:num>
  <w:num w:numId="8">
    <w:abstractNumId w:val="5"/>
  </w:num>
  <w:num w:numId="9">
    <w:abstractNumId w:val="16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10"/>
    <w:uiPriority w:val="10"/>
    <w:rPr>
      <w:sz w:val="48"/>
      <w:szCs w:val="48"/>
    </w:rPr>
  </w:style>
  <w:style w:type="character" w:styleId="37">
    <w:name w:val="Subtitle Char"/>
    <w:basedOn w:val="697"/>
    <w:link w:val="712"/>
    <w:uiPriority w:val="11"/>
    <w:rPr>
      <w:sz w:val="24"/>
      <w:szCs w:val="24"/>
    </w:rPr>
  </w:style>
  <w:style w:type="character" w:styleId="39">
    <w:name w:val="Quote Char"/>
    <w:link w:val="714"/>
    <w:uiPriority w:val="29"/>
    <w:rPr>
      <w:i/>
    </w:rPr>
  </w:style>
  <w:style w:type="character" w:styleId="41">
    <w:name w:val="Intense Quote Char"/>
    <w:link w:val="716"/>
    <w:uiPriority w:val="30"/>
    <w:rPr>
      <w:i/>
    </w:rPr>
  </w:style>
  <w:style w:type="character" w:styleId="43">
    <w:name w:val="Header Char"/>
    <w:basedOn w:val="697"/>
    <w:link w:val="718"/>
    <w:uiPriority w:val="99"/>
  </w:style>
  <w:style w:type="character" w:styleId="47">
    <w:name w:val="Caption Char"/>
    <w:basedOn w:val="722"/>
    <w:link w:val="720"/>
    <w:uiPriority w:val="99"/>
  </w:style>
  <w:style w:type="character" w:styleId="176">
    <w:name w:val="Footnote Text Char"/>
    <w:link w:val="851"/>
    <w:uiPriority w:val="99"/>
    <w:rPr>
      <w:sz w:val="18"/>
    </w:rPr>
  </w:style>
  <w:style w:type="character" w:styleId="179">
    <w:name w:val="Endnote Text Char"/>
    <w:link w:val="854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Заголовок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8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Верхний колонтитул Знак"/>
    <w:basedOn w:val="697"/>
    <w:link w:val="718"/>
    <w:uiPriority w:val="99"/>
  </w:style>
  <w:style w:type="paragraph" w:styleId="720">
    <w:name w:val="Footer"/>
    <w:basedOn w:val="687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basedOn w:val="697"/>
    <w:uiPriority w:val="99"/>
  </w:style>
  <w:style w:type="paragraph" w:styleId="722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4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8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8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2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3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7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1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1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5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8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2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5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9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563c1" w:themeColor="hyperlink"/>
      <w:u w:val="single"/>
    </w:rPr>
  </w:style>
  <w:style w:type="paragraph" w:styleId="851">
    <w:name w:val="footnote text"/>
    <w:basedOn w:val="687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97"/>
    <w:uiPriority w:val="99"/>
    <w:unhideWhenUsed/>
    <w:rPr>
      <w:vertAlign w:val="superscript"/>
    </w:rPr>
  </w:style>
  <w:style w:type="paragraph" w:styleId="854">
    <w:name w:val="endnote text"/>
    <w:basedOn w:val="687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97"/>
    <w:uiPriority w:val="99"/>
    <w:semiHidden/>
    <w:unhideWhenUsed/>
    <w:rPr>
      <w:vertAlign w:val="superscript"/>
    </w:rPr>
  </w:style>
  <w:style w:type="paragraph" w:styleId="857">
    <w:name w:val="toc 1"/>
    <w:basedOn w:val="687"/>
    <w:next w:val="687"/>
    <w:uiPriority w:val="39"/>
    <w:unhideWhenUsed/>
    <w:pPr>
      <w:spacing w:after="57"/>
    </w:pPr>
  </w:style>
  <w:style w:type="paragraph" w:styleId="858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9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0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1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2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3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4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5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87"/>
    <w:next w:val="687"/>
    <w:uiPriority w:val="99"/>
    <w:unhideWhenUsed/>
    <w:pPr>
      <w:spacing w:after="0"/>
    </w:pPr>
  </w:style>
  <w:style w:type="paragraph" w:styleId="868" w:customStyle="1">
    <w:name w:val="c27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9" w:customStyle="1">
    <w:name w:val="c1"/>
    <w:basedOn w:val="697"/>
  </w:style>
  <w:style w:type="paragraph" w:styleId="870" w:customStyle="1">
    <w:name w:val="c5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c20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List Paragraph"/>
    <w:basedOn w:val="687"/>
    <w:qFormat/>
    <w:pPr>
      <w:ind w:left="720"/>
      <w:spacing w:before="100" w:after="200" w:line="276" w:lineRule="auto"/>
    </w:pPr>
    <w:rPr>
      <w:rFonts w:ascii="Calibri" w:hAnsi="Calibri" w:eastAsia="Times New Roman" w:cs="Times New Roman"/>
      <w:sz w:val="24"/>
      <w:szCs w:val="20"/>
      <w:lang w:eastAsia="ru-RU"/>
    </w:rPr>
  </w:style>
  <w:style w:type="paragraph" w:styleId="873">
    <w:name w:val="Normal (Web)"/>
    <w:basedOn w:val="6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reflinkblock"/>
    <w:basedOn w:val="697"/>
  </w:style>
  <w:style w:type="character" w:styleId="875" w:customStyle="1">
    <w:name w:val="reflink"/>
    <w:basedOn w:val="697"/>
  </w:style>
  <w:style w:type="character" w:styleId="876">
    <w:name w:val="Unresolved Mention"/>
    <w:basedOn w:val="69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yberleninka.ru/article/n/sposoby-diagnostiki-urovnya-tolerantnosti-v-podrostkovom-vozraste" TargetMode="External"/><Relationship Id="rId10" Type="http://schemas.openxmlformats.org/officeDocument/2006/relationships/hyperlink" Target="https://psyjournals.ru/journals/psyedu/archive/2012_n2/536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Пак</dc:creator>
  <cp:keywords/>
  <dc:description/>
  <cp:revision>6</cp:revision>
  <dcterms:created xsi:type="dcterms:W3CDTF">2025-01-16T21:11:00Z</dcterms:created>
  <dcterms:modified xsi:type="dcterms:W3CDTF">2025-02-17T09:29:43Z</dcterms:modified>
</cp:coreProperties>
</file>